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7F3A3" w14:textId="77777777" w:rsidR="00662C83" w:rsidRPr="00164501" w:rsidRDefault="00662C83" w:rsidP="006B4A67">
      <w:pPr>
        <w:spacing w:line="480" w:lineRule="auto"/>
        <w:jc w:val="center"/>
        <w:rPr>
          <w:rFonts w:ascii="Arial" w:hAnsi="Arial" w:cs="Arial"/>
          <w:b/>
          <w:sz w:val="28"/>
          <w:szCs w:val="28"/>
        </w:rPr>
      </w:pPr>
    </w:p>
    <w:p w14:paraId="7C860A69" w14:textId="77777777" w:rsidR="00164501" w:rsidRPr="00164501" w:rsidRDefault="00164501" w:rsidP="00164501">
      <w:pPr>
        <w:pBdr>
          <w:bottom w:val="single" w:sz="4" w:space="1" w:color="auto"/>
        </w:pBdr>
        <w:spacing w:line="360" w:lineRule="auto"/>
        <w:jc w:val="center"/>
        <w:rPr>
          <w:rFonts w:ascii="Arial" w:hAnsi="Arial" w:cs="Arial"/>
          <w:b/>
          <w:sz w:val="28"/>
          <w:szCs w:val="22"/>
        </w:rPr>
      </w:pPr>
      <w:r w:rsidRPr="00164501">
        <w:rPr>
          <w:rFonts w:ascii="Arial" w:hAnsi="Arial" w:cs="Arial"/>
          <w:b/>
          <w:sz w:val="28"/>
          <w:szCs w:val="22"/>
        </w:rPr>
        <w:t>Licencing of Patent Applications – Pre-Grant Royalty Earning</w:t>
      </w:r>
    </w:p>
    <w:p w14:paraId="5030A95F" w14:textId="77777777" w:rsidR="00164501" w:rsidRDefault="00164501" w:rsidP="00164501">
      <w:pPr>
        <w:spacing w:line="360" w:lineRule="auto"/>
        <w:jc w:val="center"/>
        <w:rPr>
          <w:rFonts w:ascii="Arial" w:hAnsi="Arial" w:cs="Arial"/>
          <w:b/>
          <w:szCs w:val="22"/>
        </w:rPr>
      </w:pPr>
    </w:p>
    <w:p w14:paraId="75DE9366" w14:textId="77777777" w:rsidR="00164501" w:rsidRPr="00164501" w:rsidRDefault="00164501" w:rsidP="00164501">
      <w:pPr>
        <w:spacing w:line="360" w:lineRule="auto"/>
        <w:jc w:val="center"/>
        <w:rPr>
          <w:rFonts w:ascii="Arial" w:hAnsi="Arial" w:cs="Arial"/>
          <w:b/>
          <w:szCs w:val="22"/>
        </w:rPr>
      </w:pPr>
    </w:p>
    <w:p w14:paraId="66F30698" w14:textId="77777777" w:rsidR="00164501" w:rsidRPr="00164501" w:rsidRDefault="00164501" w:rsidP="00164501">
      <w:pPr>
        <w:spacing w:line="360" w:lineRule="auto"/>
        <w:jc w:val="center"/>
        <w:rPr>
          <w:rFonts w:ascii="Arial" w:hAnsi="Arial" w:cs="Arial"/>
          <w:b/>
          <w:szCs w:val="22"/>
        </w:rPr>
      </w:pPr>
    </w:p>
    <w:p w14:paraId="1450E829" w14:textId="77777777" w:rsidR="00164501" w:rsidRDefault="00164501" w:rsidP="00164501">
      <w:pPr>
        <w:shd w:val="clear" w:color="auto" w:fill="FFFFFF"/>
        <w:spacing w:line="360" w:lineRule="auto"/>
        <w:jc w:val="both"/>
        <w:rPr>
          <w:rFonts w:ascii="Arial" w:hAnsi="Arial" w:cs="Arial"/>
          <w:szCs w:val="22"/>
        </w:rPr>
      </w:pPr>
      <w:bookmarkStart w:id="0" w:name="OLE_LINK1"/>
      <w:bookmarkStart w:id="1" w:name="OLE_LINK2"/>
      <w:r w:rsidRPr="00164501">
        <w:rPr>
          <w:rFonts w:ascii="Arial" w:hAnsi="Arial" w:cs="Arial"/>
          <w:szCs w:val="22"/>
        </w:rPr>
        <w:t>Research and development is costly. International patent portfolios even more so. The business strategy of most corporations, when filing a patent application, is to seek some return on R&amp;D investment, mostly through self-exploitation of the products of R&amp;D, or through royalty earnings from intellectual Property (IP).</w:t>
      </w:r>
    </w:p>
    <w:p w14:paraId="33059F84" w14:textId="77777777" w:rsidR="00164501" w:rsidRPr="00164501" w:rsidRDefault="00164501" w:rsidP="00164501">
      <w:pPr>
        <w:shd w:val="clear" w:color="auto" w:fill="FFFFFF"/>
        <w:spacing w:line="360" w:lineRule="auto"/>
        <w:jc w:val="both"/>
        <w:rPr>
          <w:rFonts w:ascii="Arial" w:hAnsi="Arial" w:cs="Arial"/>
          <w:szCs w:val="22"/>
        </w:rPr>
      </w:pPr>
    </w:p>
    <w:p w14:paraId="7EE738CB" w14:textId="77777777" w:rsidR="00164501" w:rsidRDefault="00164501" w:rsidP="00164501">
      <w:pPr>
        <w:shd w:val="clear" w:color="auto" w:fill="FFFFFF"/>
        <w:spacing w:line="360" w:lineRule="auto"/>
        <w:jc w:val="both"/>
        <w:rPr>
          <w:rFonts w:ascii="Arial" w:hAnsi="Arial" w:cs="Arial"/>
          <w:szCs w:val="22"/>
        </w:rPr>
      </w:pPr>
      <w:r w:rsidRPr="00164501">
        <w:rPr>
          <w:rFonts w:ascii="Arial" w:hAnsi="Arial" w:cs="Arial"/>
          <w:szCs w:val="22"/>
        </w:rPr>
        <w:t xml:space="preserve">The time frame between filing a patent application to grant can take many years. Patent offices’ backlogs often result in a three year (or longer) delay before any office actions are issued or an application is reviewed. </w:t>
      </w:r>
    </w:p>
    <w:p w14:paraId="79C56563" w14:textId="77777777" w:rsidR="00164501" w:rsidRPr="00164501" w:rsidRDefault="00164501" w:rsidP="00164501">
      <w:pPr>
        <w:shd w:val="clear" w:color="auto" w:fill="FFFFFF"/>
        <w:spacing w:line="360" w:lineRule="auto"/>
        <w:jc w:val="both"/>
        <w:rPr>
          <w:rFonts w:ascii="Arial" w:hAnsi="Arial" w:cs="Arial"/>
          <w:szCs w:val="22"/>
        </w:rPr>
      </w:pPr>
    </w:p>
    <w:p w14:paraId="077AC407" w14:textId="77777777" w:rsidR="00164501" w:rsidRDefault="00164501" w:rsidP="00164501">
      <w:pPr>
        <w:shd w:val="clear" w:color="auto" w:fill="FFFFFF"/>
        <w:spacing w:line="360" w:lineRule="auto"/>
        <w:jc w:val="both"/>
        <w:rPr>
          <w:rFonts w:ascii="Arial" w:hAnsi="Arial" w:cs="Arial"/>
          <w:szCs w:val="22"/>
        </w:rPr>
      </w:pPr>
      <w:r w:rsidRPr="00164501">
        <w:rPr>
          <w:rFonts w:ascii="Arial" w:hAnsi="Arial" w:cs="Arial"/>
          <w:szCs w:val="22"/>
        </w:rPr>
        <w:t>Legislation provides for the licensing of pending applications in certain countries provided the patent application has been published. The risk of refunding a paid royalty, or forfeiting future royalties for the licensor remains if the patent is not granted, or not granted in a form reading onto the licence granting provisions.</w:t>
      </w:r>
    </w:p>
    <w:p w14:paraId="24CF9063" w14:textId="77777777" w:rsidR="00164501" w:rsidRPr="00164501" w:rsidRDefault="00164501" w:rsidP="00164501">
      <w:pPr>
        <w:shd w:val="clear" w:color="auto" w:fill="FFFFFF"/>
        <w:spacing w:line="360" w:lineRule="auto"/>
        <w:jc w:val="both"/>
        <w:rPr>
          <w:rFonts w:ascii="Arial" w:hAnsi="Arial" w:cs="Arial"/>
          <w:szCs w:val="22"/>
        </w:rPr>
      </w:pPr>
    </w:p>
    <w:p w14:paraId="0BBEF2D3" w14:textId="77777777" w:rsidR="00164501" w:rsidRPr="00164501" w:rsidRDefault="00164501" w:rsidP="00164501">
      <w:pPr>
        <w:shd w:val="clear" w:color="auto" w:fill="FFFFFF"/>
        <w:spacing w:line="360" w:lineRule="auto"/>
        <w:jc w:val="both"/>
        <w:rPr>
          <w:rFonts w:ascii="Arial" w:hAnsi="Arial" w:cs="Arial"/>
          <w:szCs w:val="22"/>
        </w:rPr>
      </w:pPr>
      <w:r w:rsidRPr="00164501">
        <w:rPr>
          <w:rFonts w:ascii="Arial" w:hAnsi="Arial" w:cs="Arial"/>
          <w:szCs w:val="22"/>
        </w:rPr>
        <w:t>What is there to be gained by a licensee by paying a royalty before a patent issues?  Attractive alternatives include:</w:t>
      </w:r>
    </w:p>
    <w:p w14:paraId="3776378F" w14:textId="77777777" w:rsidR="00164501" w:rsidRPr="00164501" w:rsidRDefault="00164501" w:rsidP="00164501">
      <w:pPr>
        <w:numPr>
          <w:ilvl w:val="0"/>
          <w:numId w:val="1"/>
        </w:numPr>
        <w:shd w:val="clear" w:color="auto" w:fill="FFFFFF"/>
        <w:tabs>
          <w:tab w:val="clear" w:pos="720"/>
          <w:tab w:val="num" w:pos="567"/>
        </w:tabs>
        <w:spacing w:line="360" w:lineRule="auto"/>
        <w:ind w:left="567" w:right="255" w:hanging="142"/>
        <w:contextualSpacing/>
        <w:jc w:val="both"/>
        <w:rPr>
          <w:rFonts w:ascii="Arial" w:hAnsi="Arial" w:cs="Arial"/>
          <w:szCs w:val="22"/>
        </w:rPr>
      </w:pPr>
      <w:r w:rsidRPr="00164501">
        <w:rPr>
          <w:rFonts w:ascii="Arial" w:hAnsi="Arial" w:cs="Arial"/>
          <w:szCs w:val="22"/>
        </w:rPr>
        <w:t>Access to know-how and confidential information (or trade secrets) not disclosed on the patent application but essential to the exploitation of the invention</w:t>
      </w:r>
    </w:p>
    <w:p w14:paraId="4D3E378C" w14:textId="77777777" w:rsidR="00164501" w:rsidRPr="00164501" w:rsidRDefault="00164501" w:rsidP="00164501">
      <w:pPr>
        <w:numPr>
          <w:ilvl w:val="0"/>
          <w:numId w:val="1"/>
        </w:numPr>
        <w:shd w:val="clear" w:color="auto" w:fill="FFFFFF"/>
        <w:tabs>
          <w:tab w:val="clear" w:pos="720"/>
          <w:tab w:val="num" w:pos="567"/>
        </w:tabs>
        <w:spacing w:line="360" w:lineRule="auto"/>
        <w:ind w:left="567" w:right="255" w:hanging="142"/>
        <w:jc w:val="both"/>
        <w:rPr>
          <w:rFonts w:ascii="Arial" w:hAnsi="Arial" w:cs="Arial"/>
          <w:szCs w:val="22"/>
        </w:rPr>
      </w:pPr>
      <w:r w:rsidRPr="00164501">
        <w:rPr>
          <w:rFonts w:ascii="Arial" w:hAnsi="Arial" w:cs="Arial"/>
          <w:szCs w:val="22"/>
        </w:rPr>
        <w:t>Access to improvements to technology (whether patentable or not)</w:t>
      </w:r>
    </w:p>
    <w:p w14:paraId="66E5E474" w14:textId="77777777" w:rsidR="00164501" w:rsidRPr="00164501" w:rsidRDefault="00164501" w:rsidP="00164501">
      <w:pPr>
        <w:shd w:val="clear" w:color="auto" w:fill="FFFFFF"/>
        <w:spacing w:line="360" w:lineRule="auto"/>
        <w:ind w:left="425" w:right="255"/>
        <w:jc w:val="both"/>
        <w:rPr>
          <w:rFonts w:ascii="Arial" w:hAnsi="Arial" w:cs="Arial"/>
          <w:szCs w:val="22"/>
        </w:rPr>
      </w:pPr>
    </w:p>
    <w:p w14:paraId="1C7A13E1" w14:textId="77777777" w:rsidR="00164501" w:rsidRDefault="00164501" w:rsidP="00164501">
      <w:pPr>
        <w:spacing w:line="360" w:lineRule="auto"/>
        <w:jc w:val="both"/>
        <w:rPr>
          <w:rFonts w:ascii="Arial" w:hAnsi="Arial" w:cs="Arial"/>
          <w:szCs w:val="22"/>
        </w:rPr>
      </w:pPr>
      <w:r w:rsidRPr="00164501">
        <w:rPr>
          <w:rFonts w:ascii="Arial" w:hAnsi="Arial" w:cs="Arial"/>
          <w:szCs w:val="22"/>
        </w:rPr>
        <w:lastRenderedPageBreak/>
        <w:t>The possibility of licensing pending patent applications (provisional rights) and earning royalty income therefrom as provided under certain countries patent law systems presents an important business tool. This is so as the pre-issuance use of the invention may represent substantial value to a company during the time consuming patent prosecution wherein an examination period may span several years.</w:t>
      </w:r>
    </w:p>
    <w:p w14:paraId="49E2DE89" w14:textId="77777777" w:rsidR="00164501" w:rsidRPr="00164501" w:rsidRDefault="00164501" w:rsidP="00164501">
      <w:pPr>
        <w:spacing w:line="360" w:lineRule="auto"/>
        <w:jc w:val="both"/>
        <w:rPr>
          <w:rFonts w:ascii="Arial" w:hAnsi="Arial" w:cs="Arial"/>
          <w:szCs w:val="22"/>
        </w:rPr>
      </w:pPr>
    </w:p>
    <w:p w14:paraId="12595B22" w14:textId="77777777" w:rsidR="00164501" w:rsidRDefault="00164501" w:rsidP="00164501">
      <w:pPr>
        <w:shd w:val="clear" w:color="auto" w:fill="FFFFFF"/>
        <w:spacing w:line="360" w:lineRule="auto"/>
        <w:jc w:val="both"/>
        <w:rPr>
          <w:rFonts w:ascii="Arial" w:hAnsi="Arial" w:cs="Arial"/>
          <w:szCs w:val="22"/>
        </w:rPr>
      </w:pPr>
      <w:r w:rsidRPr="00164501">
        <w:rPr>
          <w:rFonts w:ascii="Arial" w:hAnsi="Arial" w:cs="Arial"/>
          <w:szCs w:val="22"/>
        </w:rPr>
        <w:t>Opportunities for licensing revenue for a pending patent application are limited and it depends on the specific circumstances (i.e. independent licensing, as part of Merger and Acquisition), the type of invention, technology transfer possibilities, additional know-how underlying to the invention.</w:t>
      </w:r>
    </w:p>
    <w:p w14:paraId="1F800CEE" w14:textId="77777777" w:rsidR="00164501" w:rsidRPr="00164501" w:rsidRDefault="00164501" w:rsidP="00164501">
      <w:pPr>
        <w:shd w:val="clear" w:color="auto" w:fill="FFFFFF"/>
        <w:spacing w:line="360" w:lineRule="auto"/>
        <w:jc w:val="both"/>
        <w:rPr>
          <w:rFonts w:ascii="Arial" w:hAnsi="Arial" w:cs="Arial"/>
          <w:szCs w:val="22"/>
        </w:rPr>
      </w:pPr>
    </w:p>
    <w:p w14:paraId="0909EA44" w14:textId="77777777" w:rsidR="00164501" w:rsidRPr="00164501" w:rsidRDefault="00164501" w:rsidP="00164501">
      <w:pPr>
        <w:shd w:val="clear" w:color="auto" w:fill="FFFFFF"/>
        <w:spacing w:line="360" w:lineRule="auto"/>
        <w:jc w:val="both"/>
        <w:rPr>
          <w:rFonts w:ascii="Arial" w:hAnsi="Arial" w:cs="Arial"/>
          <w:szCs w:val="22"/>
        </w:rPr>
      </w:pPr>
      <w:r w:rsidRPr="00164501">
        <w:rPr>
          <w:rFonts w:ascii="Arial" w:hAnsi="Arial" w:cs="Arial"/>
          <w:szCs w:val="22"/>
        </w:rPr>
        <w:t xml:space="preserve">Where some form of technology transfer is part of the transaction it is generally easier to negotiate royalty payments as such deals provide access to new technology as well as a right under a future patent. </w:t>
      </w:r>
    </w:p>
    <w:p w14:paraId="5C6CEE0C" w14:textId="77777777" w:rsidR="00164501" w:rsidRPr="00164501" w:rsidRDefault="00164501" w:rsidP="00164501">
      <w:pPr>
        <w:shd w:val="clear" w:color="auto" w:fill="FFFFFF"/>
        <w:spacing w:line="360" w:lineRule="auto"/>
        <w:jc w:val="both"/>
        <w:rPr>
          <w:rFonts w:ascii="Arial" w:hAnsi="Arial" w:cs="Arial"/>
          <w:szCs w:val="22"/>
        </w:rPr>
      </w:pPr>
    </w:p>
    <w:p w14:paraId="59F516CD" w14:textId="0E7CD42A" w:rsidR="00164501" w:rsidRPr="00164501" w:rsidRDefault="00164501" w:rsidP="00164501">
      <w:pPr>
        <w:shd w:val="clear" w:color="auto" w:fill="FFFFFF"/>
        <w:spacing w:line="360" w:lineRule="auto"/>
        <w:jc w:val="both"/>
        <w:rPr>
          <w:rFonts w:ascii="Arial" w:hAnsi="Arial" w:cs="Arial"/>
          <w:szCs w:val="22"/>
        </w:rPr>
      </w:pPr>
      <w:r w:rsidRPr="00164501">
        <w:rPr>
          <w:rFonts w:ascii="Arial" w:hAnsi="Arial" w:cs="Arial"/>
          <w:szCs w:val="22"/>
        </w:rPr>
        <w:t>The key is for the licensor to convince a licensee that it has something to gain by paying a royalty before a patent is granted. Royalties are easier to negotiate where the patent application has not yet published, and the licensee is paying a royalty for the ability to obtain confidential information or some useful know-how that is not included in the patent application; or where the applicant is willing to offer the licensee a reduced long-term royalty, some level of exclusivity, or another benefit in exchange for royalties while the application is still pending.</w:t>
      </w:r>
    </w:p>
    <w:p w14:paraId="2A78AB83" w14:textId="77777777" w:rsidR="00164501" w:rsidRPr="00164501" w:rsidRDefault="00164501" w:rsidP="00164501">
      <w:pPr>
        <w:shd w:val="clear" w:color="auto" w:fill="FFFFFF"/>
        <w:spacing w:line="360" w:lineRule="auto"/>
        <w:jc w:val="both"/>
        <w:rPr>
          <w:rFonts w:ascii="Arial" w:hAnsi="Arial" w:cs="Arial"/>
          <w:szCs w:val="22"/>
        </w:rPr>
      </w:pPr>
    </w:p>
    <w:p w14:paraId="72588FC9" w14:textId="77777777" w:rsidR="00164501" w:rsidRPr="00164501" w:rsidRDefault="00164501" w:rsidP="00164501">
      <w:pPr>
        <w:shd w:val="clear" w:color="auto" w:fill="FFFFFF"/>
        <w:spacing w:line="360" w:lineRule="auto"/>
        <w:jc w:val="both"/>
        <w:rPr>
          <w:rFonts w:ascii="Arial" w:hAnsi="Arial" w:cs="Arial"/>
          <w:szCs w:val="22"/>
        </w:rPr>
      </w:pPr>
      <w:r w:rsidRPr="00164501">
        <w:rPr>
          <w:rFonts w:ascii="Arial" w:hAnsi="Arial" w:cs="Arial"/>
          <w:szCs w:val="22"/>
        </w:rPr>
        <w:t>Care should however be taken where global patent portfolios are licenced and the licensing of pending patent applications is not allowed by any specific country’s laws, or where there is an obligation to refund  the royalty paid to the licensor in case of revocation or non-grant of the licenced patent applications.</w:t>
      </w:r>
    </w:p>
    <w:p w14:paraId="4A9111FF" w14:textId="77777777" w:rsidR="00164501" w:rsidRPr="00164501" w:rsidRDefault="00164501" w:rsidP="00164501">
      <w:pPr>
        <w:spacing w:line="360" w:lineRule="auto"/>
        <w:rPr>
          <w:rFonts w:ascii="Arial" w:hAnsi="Arial" w:cs="Arial"/>
          <w:szCs w:val="22"/>
        </w:rPr>
      </w:pPr>
    </w:p>
    <w:p w14:paraId="3A6C46C4" w14:textId="77777777" w:rsidR="00164501" w:rsidRPr="00164501" w:rsidRDefault="00164501" w:rsidP="00164501">
      <w:pPr>
        <w:spacing w:line="360" w:lineRule="auto"/>
        <w:jc w:val="both"/>
        <w:rPr>
          <w:rFonts w:ascii="Arial" w:hAnsi="Arial" w:cs="Arial"/>
          <w:szCs w:val="22"/>
        </w:rPr>
      </w:pPr>
      <w:r w:rsidRPr="00164501">
        <w:rPr>
          <w:rFonts w:ascii="Arial" w:hAnsi="Arial" w:cs="Arial"/>
          <w:szCs w:val="22"/>
        </w:rPr>
        <w:t>Licence agreements should always include provisions concerning rejection, revocation and the like concerning the patents or patent applications covered by the licence so that it is clear to the licensee and licensor what the strategy is in the event of a patent not coming into effect or being invalidated. Furthermore, the regulations and exceptions of the antitrust regulations of the each country that effects the agreement have to be considered.</w:t>
      </w:r>
    </w:p>
    <w:p w14:paraId="66E3B2F4" w14:textId="77777777" w:rsidR="00164501" w:rsidRPr="00164501" w:rsidRDefault="00164501" w:rsidP="00164501">
      <w:pPr>
        <w:spacing w:line="360" w:lineRule="auto"/>
        <w:jc w:val="both"/>
        <w:rPr>
          <w:rFonts w:ascii="Arial" w:hAnsi="Arial" w:cs="Arial"/>
          <w:szCs w:val="22"/>
        </w:rPr>
      </w:pPr>
    </w:p>
    <w:p w14:paraId="65E41098" w14:textId="77777777" w:rsidR="00164501" w:rsidRDefault="00164501" w:rsidP="00164501">
      <w:pPr>
        <w:spacing w:line="360" w:lineRule="auto"/>
        <w:rPr>
          <w:rFonts w:ascii="Arial" w:hAnsi="Arial" w:cs="Arial"/>
          <w:b/>
          <w:szCs w:val="22"/>
        </w:rPr>
      </w:pPr>
    </w:p>
    <w:p w14:paraId="795D800A" w14:textId="77777777" w:rsidR="00164501" w:rsidRDefault="00164501" w:rsidP="00164501">
      <w:pPr>
        <w:spacing w:line="360" w:lineRule="auto"/>
        <w:rPr>
          <w:rFonts w:ascii="Arial" w:hAnsi="Arial" w:cs="Arial"/>
          <w:b/>
          <w:szCs w:val="22"/>
        </w:rPr>
      </w:pPr>
    </w:p>
    <w:p w14:paraId="13060442" w14:textId="77777777" w:rsidR="00164501" w:rsidRDefault="00164501" w:rsidP="00164501">
      <w:pPr>
        <w:spacing w:line="360" w:lineRule="auto"/>
        <w:rPr>
          <w:rFonts w:ascii="Arial" w:hAnsi="Arial" w:cs="Arial"/>
          <w:b/>
          <w:szCs w:val="22"/>
        </w:rPr>
      </w:pPr>
    </w:p>
    <w:p w14:paraId="48552E1B" w14:textId="77777777" w:rsidR="00164501" w:rsidRPr="00164501" w:rsidRDefault="00164501" w:rsidP="00164501">
      <w:pPr>
        <w:spacing w:line="360" w:lineRule="auto"/>
        <w:rPr>
          <w:rFonts w:ascii="Arial" w:hAnsi="Arial" w:cs="Arial"/>
          <w:b/>
          <w:szCs w:val="22"/>
        </w:rPr>
      </w:pPr>
      <w:r w:rsidRPr="00164501">
        <w:rPr>
          <w:rFonts w:ascii="Arial" w:hAnsi="Arial" w:cs="Arial"/>
          <w:b/>
          <w:szCs w:val="22"/>
        </w:rPr>
        <w:lastRenderedPageBreak/>
        <w:t>Country overview of pure patent licenses: licensing of pending patent applications</w:t>
      </w:r>
    </w:p>
    <w:p w14:paraId="06D69821" w14:textId="77777777" w:rsidR="00164501" w:rsidRPr="00164501" w:rsidRDefault="00164501" w:rsidP="00164501">
      <w:pPr>
        <w:rPr>
          <w:rFonts w:ascii="Arial" w:hAnsi="Arial" w:cs="Arial"/>
          <w:b/>
          <w:sz w:val="18"/>
          <w:szCs w:val="18"/>
        </w:rPr>
      </w:pPr>
    </w:p>
    <w:tbl>
      <w:tblPr>
        <w:tblStyle w:val="TableGrid"/>
        <w:tblW w:w="0" w:type="auto"/>
        <w:tblLook w:val="04A0" w:firstRow="1" w:lastRow="0" w:firstColumn="1" w:lastColumn="0" w:noHBand="0" w:noVBand="1"/>
      </w:tblPr>
      <w:tblGrid>
        <w:gridCol w:w="3005"/>
        <w:gridCol w:w="3005"/>
        <w:gridCol w:w="3006"/>
      </w:tblGrid>
      <w:tr w:rsidR="00164501" w:rsidRPr="00164501" w14:paraId="2E67609F" w14:textId="77777777" w:rsidTr="004A0C3C">
        <w:tc>
          <w:tcPr>
            <w:tcW w:w="3005" w:type="dxa"/>
          </w:tcPr>
          <w:p w14:paraId="7196E70D" w14:textId="77777777" w:rsidR="00164501" w:rsidRPr="00164501" w:rsidRDefault="00164501" w:rsidP="004A0C3C">
            <w:pPr>
              <w:rPr>
                <w:rFonts w:ascii="Arial" w:hAnsi="Arial" w:cs="Arial"/>
                <w:sz w:val="18"/>
                <w:szCs w:val="18"/>
              </w:rPr>
            </w:pPr>
            <w:bookmarkStart w:id="2" w:name="OLE_LINK3"/>
            <w:bookmarkStart w:id="3" w:name="OLE_LINK4"/>
            <w:bookmarkStart w:id="4" w:name="OLE_LINK10"/>
            <w:r w:rsidRPr="00164501">
              <w:rPr>
                <w:rFonts w:ascii="Arial" w:hAnsi="Arial" w:cs="Arial"/>
                <w:sz w:val="18"/>
                <w:szCs w:val="18"/>
              </w:rPr>
              <w:t>Country</w:t>
            </w:r>
          </w:p>
        </w:tc>
        <w:tc>
          <w:tcPr>
            <w:tcW w:w="3005" w:type="dxa"/>
          </w:tcPr>
          <w:p w14:paraId="452ADF59" w14:textId="77777777" w:rsidR="00164501" w:rsidRPr="00164501" w:rsidRDefault="00164501" w:rsidP="004A0C3C">
            <w:pPr>
              <w:rPr>
                <w:rFonts w:ascii="Arial" w:hAnsi="Arial" w:cs="Arial"/>
                <w:sz w:val="18"/>
                <w:szCs w:val="18"/>
              </w:rPr>
            </w:pPr>
            <w:r w:rsidRPr="00164501">
              <w:rPr>
                <w:rFonts w:ascii="Arial" w:hAnsi="Arial" w:cs="Arial"/>
                <w:sz w:val="18"/>
                <w:szCs w:val="18"/>
              </w:rPr>
              <w:t>Patent law and relevant provisions</w:t>
            </w:r>
          </w:p>
        </w:tc>
        <w:tc>
          <w:tcPr>
            <w:tcW w:w="3006" w:type="dxa"/>
          </w:tcPr>
          <w:p w14:paraId="18C73C77" w14:textId="77777777" w:rsidR="00164501" w:rsidRPr="00164501" w:rsidRDefault="00164501" w:rsidP="004A0C3C">
            <w:pPr>
              <w:rPr>
                <w:rFonts w:ascii="Arial" w:hAnsi="Arial" w:cs="Arial"/>
                <w:sz w:val="18"/>
                <w:szCs w:val="18"/>
              </w:rPr>
            </w:pPr>
            <w:r w:rsidRPr="00164501">
              <w:rPr>
                <w:rFonts w:ascii="Arial" w:hAnsi="Arial" w:cs="Arial"/>
                <w:sz w:val="18"/>
                <w:szCs w:val="18"/>
              </w:rPr>
              <w:t>Freedom of contract/registration requirements</w:t>
            </w:r>
          </w:p>
        </w:tc>
      </w:tr>
      <w:tr w:rsidR="00164501" w:rsidRPr="00164501" w14:paraId="1CCB0D24" w14:textId="77777777" w:rsidTr="004A0C3C">
        <w:tc>
          <w:tcPr>
            <w:tcW w:w="3005" w:type="dxa"/>
          </w:tcPr>
          <w:p w14:paraId="4EF280DD" w14:textId="77777777" w:rsidR="00164501" w:rsidRPr="00164501" w:rsidRDefault="00164501" w:rsidP="004A0C3C">
            <w:pPr>
              <w:rPr>
                <w:rFonts w:ascii="Arial" w:hAnsi="Arial" w:cs="Arial"/>
                <w:sz w:val="18"/>
                <w:szCs w:val="18"/>
              </w:rPr>
            </w:pPr>
            <w:r w:rsidRPr="00164501">
              <w:rPr>
                <w:rFonts w:ascii="Arial" w:hAnsi="Arial" w:cs="Arial"/>
                <w:sz w:val="18"/>
                <w:szCs w:val="18"/>
              </w:rPr>
              <w:t>Australia</w:t>
            </w:r>
          </w:p>
        </w:tc>
        <w:tc>
          <w:tcPr>
            <w:tcW w:w="3005" w:type="dxa"/>
          </w:tcPr>
          <w:p w14:paraId="4846749A" w14:textId="77777777" w:rsidR="00164501" w:rsidRPr="00164501" w:rsidRDefault="00164501" w:rsidP="004A0C3C">
            <w:pPr>
              <w:rPr>
                <w:rFonts w:ascii="Arial" w:hAnsi="Arial" w:cs="Arial"/>
                <w:sz w:val="18"/>
                <w:szCs w:val="18"/>
              </w:rPr>
            </w:pPr>
            <w:r w:rsidRPr="00164501">
              <w:rPr>
                <w:rFonts w:ascii="Arial" w:hAnsi="Arial" w:cs="Arial"/>
                <w:sz w:val="18"/>
                <w:szCs w:val="18"/>
              </w:rPr>
              <w:t>The Patents Act, 1990. S 13(1) S145</w:t>
            </w:r>
          </w:p>
        </w:tc>
        <w:tc>
          <w:tcPr>
            <w:tcW w:w="3006" w:type="dxa"/>
          </w:tcPr>
          <w:p w14:paraId="51F41B60" w14:textId="77777777" w:rsidR="00164501" w:rsidRPr="00164501" w:rsidRDefault="00164501" w:rsidP="004A0C3C">
            <w:pPr>
              <w:rPr>
                <w:rFonts w:ascii="Arial" w:hAnsi="Arial" w:cs="Arial"/>
                <w:sz w:val="18"/>
                <w:szCs w:val="18"/>
              </w:rPr>
            </w:pPr>
            <w:r w:rsidRPr="00164501">
              <w:rPr>
                <w:rFonts w:ascii="Arial" w:hAnsi="Arial" w:cs="Arial"/>
                <w:sz w:val="18"/>
                <w:szCs w:val="18"/>
              </w:rPr>
              <w:t>Freedom of contract prevails and parties are free to contract with respect to license fees on pending application.  O obligation for registration of patent licenses</w:t>
            </w:r>
          </w:p>
        </w:tc>
      </w:tr>
      <w:tr w:rsidR="00164501" w:rsidRPr="00164501" w14:paraId="616F9135" w14:textId="77777777" w:rsidTr="004A0C3C">
        <w:tc>
          <w:tcPr>
            <w:tcW w:w="3005" w:type="dxa"/>
          </w:tcPr>
          <w:p w14:paraId="34C3DAB2" w14:textId="77777777" w:rsidR="00164501" w:rsidRPr="00164501" w:rsidRDefault="00164501" w:rsidP="004A0C3C">
            <w:pPr>
              <w:rPr>
                <w:rFonts w:ascii="Arial" w:hAnsi="Arial" w:cs="Arial"/>
                <w:sz w:val="18"/>
                <w:szCs w:val="18"/>
              </w:rPr>
            </w:pPr>
            <w:r w:rsidRPr="00164501">
              <w:rPr>
                <w:rFonts w:ascii="Arial" w:hAnsi="Arial" w:cs="Arial"/>
                <w:sz w:val="18"/>
                <w:szCs w:val="18"/>
              </w:rPr>
              <w:t>Brazil</w:t>
            </w:r>
          </w:p>
        </w:tc>
        <w:tc>
          <w:tcPr>
            <w:tcW w:w="3005" w:type="dxa"/>
          </w:tcPr>
          <w:p w14:paraId="58A9B67B" w14:textId="77777777" w:rsidR="00164501" w:rsidRPr="00164501" w:rsidRDefault="00164501" w:rsidP="004A0C3C">
            <w:pPr>
              <w:rPr>
                <w:rFonts w:ascii="Arial" w:hAnsi="Arial" w:cs="Arial"/>
                <w:sz w:val="18"/>
                <w:szCs w:val="18"/>
              </w:rPr>
            </w:pPr>
            <w:r w:rsidRPr="00164501">
              <w:rPr>
                <w:rFonts w:ascii="Arial" w:hAnsi="Arial" w:cs="Arial"/>
                <w:sz w:val="18"/>
                <w:szCs w:val="18"/>
              </w:rPr>
              <w:t>Industrial Property Law of Brazil, Law no. 9.279, of May 14, 1996</w:t>
            </w:r>
          </w:p>
          <w:p w14:paraId="01CA6208" w14:textId="77777777" w:rsidR="00164501" w:rsidRPr="00164501" w:rsidRDefault="00164501" w:rsidP="004A0C3C">
            <w:pPr>
              <w:rPr>
                <w:rFonts w:ascii="Arial" w:hAnsi="Arial" w:cs="Arial"/>
                <w:sz w:val="18"/>
                <w:szCs w:val="18"/>
              </w:rPr>
            </w:pPr>
            <w:r w:rsidRPr="00164501">
              <w:rPr>
                <w:rFonts w:ascii="Arial" w:hAnsi="Arial" w:cs="Arial"/>
                <w:b/>
                <w:sz w:val="18"/>
                <w:szCs w:val="18"/>
              </w:rPr>
              <w:t>Articles 42, 61, 62, 63</w:t>
            </w:r>
          </w:p>
          <w:p w14:paraId="4C1F7C1C" w14:textId="77777777" w:rsidR="00164501" w:rsidRPr="00164501" w:rsidRDefault="00164501" w:rsidP="004A0C3C">
            <w:pPr>
              <w:rPr>
                <w:rFonts w:ascii="Arial" w:hAnsi="Arial" w:cs="Arial"/>
                <w:sz w:val="18"/>
                <w:szCs w:val="18"/>
              </w:rPr>
            </w:pPr>
          </w:p>
          <w:p w14:paraId="6EE928A5" w14:textId="77777777" w:rsidR="00164501" w:rsidRPr="00164501" w:rsidRDefault="00164501" w:rsidP="004A0C3C">
            <w:pPr>
              <w:rPr>
                <w:rFonts w:ascii="Arial" w:hAnsi="Arial" w:cs="Arial"/>
                <w:sz w:val="18"/>
                <w:szCs w:val="18"/>
              </w:rPr>
            </w:pPr>
          </w:p>
          <w:p w14:paraId="01C9370F" w14:textId="77777777" w:rsidR="00164501" w:rsidRPr="00164501" w:rsidRDefault="00164501" w:rsidP="004A0C3C">
            <w:pPr>
              <w:rPr>
                <w:rFonts w:ascii="Arial" w:hAnsi="Arial" w:cs="Arial"/>
                <w:sz w:val="18"/>
                <w:szCs w:val="18"/>
              </w:rPr>
            </w:pPr>
          </w:p>
        </w:tc>
        <w:tc>
          <w:tcPr>
            <w:tcW w:w="3006" w:type="dxa"/>
          </w:tcPr>
          <w:p w14:paraId="1F51EA55" w14:textId="77777777" w:rsidR="00164501" w:rsidRPr="00164501" w:rsidRDefault="00164501" w:rsidP="004A0C3C">
            <w:pPr>
              <w:rPr>
                <w:rFonts w:ascii="Arial" w:hAnsi="Arial" w:cs="Arial"/>
                <w:sz w:val="18"/>
                <w:szCs w:val="18"/>
                <w:u w:val="single"/>
              </w:rPr>
            </w:pPr>
            <w:r w:rsidRPr="00164501">
              <w:rPr>
                <w:rFonts w:ascii="Arial" w:hAnsi="Arial" w:cs="Arial"/>
                <w:sz w:val="18"/>
                <w:szCs w:val="18"/>
              </w:rPr>
              <w:t xml:space="preserve">There is no specific guideline attesting that royalties are only payable after grant of the patent. However based on interpretation of the law only after grant is the payment of royalties allowed. It is a requirement to record a patent licence once a patent is granted. It is however advisable and possible to record a patent licence agreement when the patent is still pending. Calculation of royalties </w:t>
            </w:r>
            <w:r w:rsidRPr="00164501">
              <w:rPr>
                <w:rFonts w:ascii="Arial" w:hAnsi="Arial" w:cs="Arial"/>
                <w:sz w:val="18"/>
                <w:szCs w:val="18"/>
                <w:u w:val="single"/>
              </w:rPr>
              <w:t>from the date of the licence agreement being recorded at the Patengt office</w:t>
            </w:r>
          </w:p>
          <w:p w14:paraId="249774FB" w14:textId="77777777" w:rsidR="00164501" w:rsidRPr="00164501" w:rsidRDefault="00164501" w:rsidP="004A0C3C">
            <w:pPr>
              <w:rPr>
                <w:rFonts w:ascii="Arial" w:hAnsi="Arial" w:cs="Arial"/>
                <w:sz w:val="18"/>
                <w:szCs w:val="18"/>
              </w:rPr>
            </w:pPr>
          </w:p>
        </w:tc>
      </w:tr>
      <w:tr w:rsidR="00164501" w:rsidRPr="00164501" w14:paraId="23431343" w14:textId="77777777" w:rsidTr="004A0C3C">
        <w:tc>
          <w:tcPr>
            <w:tcW w:w="3005" w:type="dxa"/>
          </w:tcPr>
          <w:p w14:paraId="102277CC" w14:textId="77777777" w:rsidR="00164501" w:rsidRPr="00164501" w:rsidRDefault="00164501" w:rsidP="004A0C3C">
            <w:pPr>
              <w:rPr>
                <w:rFonts w:ascii="Arial" w:hAnsi="Arial" w:cs="Arial"/>
                <w:sz w:val="18"/>
                <w:szCs w:val="18"/>
              </w:rPr>
            </w:pPr>
            <w:r w:rsidRPr="00164501">
              <w:rPr>
                <w:rFonts w:ascii="Arial" w:hAnsi="Arial" w:cs="Arial"/>
                <w:sz w:val="18"/>
                <w:szCs w:val="18"/>
              </w:rPr>
              <w:t>China</w:t>
            </w:r>
          </w:p>
        </w:tc>
        <w:tc>
          <w:tcPr>
            <w:tcW w:w="3005" w:type="dxa"/>
          </w:tcPr>
          <w:p w14:paraId="155A82E9" w14:textId="77777777" w:rsidR="00164501" w:rsidRPr="00164501" w:rsidRDefault="00164501" w:rsidP="004A0C3C">
            <w:pPr>
              <w:rPr>
                <w:rFonts w:ascii="Arial" w:hAnsi="Arial" w:cs="Arial"/>
                <w:sz w:val="18"/>
                <w:szCs w:val="18"/>
              </w:rPr>
            </w:pPr>
            <w:r w:rsidRPr="00164501">
              <w:rPr>
                <w:rFonts w:ascii="Arial" w:hAnsi="Arial" w:cs="Arial"/>
                <w:sz w:val="18"/>
                <w:szCs w:val="18"/>
              </w:rPr>
              <w:t>Patent Law of the People’s Republic of China (as amended  December 27, 2008, Article 13</w:t>
            </w:r>
          </w:p>
        </w:tc>
        <w:tc>
          <w:tcPr>
            <w:tcW w:w="3006" w:type="dxa"/>
          </w:tcPr>
          <w:p w14:paraId="4C5CE828" w14:textId="77777777" w:rsidR="00164501" w:rsidRPr="00164501" w:rsidRDefault="00164501" w:rsidP="004A0C3C">
            <w:pPr>
              <w:rPr>
                <w:rFonts w:ascii="Arial" w:hAnsi="Arial" w:cs="Arial"/>
                <w:sz w:val="18"/>
                <w:szCs w:val="18"/>
              </w:rPr>
            </w:pPr>
            <w:r w:rsidRPr="00164501">
              <w:rPr>
                <w:rFonts w:ascii="Arial" w:hAnsi="Arial" w:cs="Arial"/>
                <w:sz w:val="18"/>
                <w:szCs w:val="18"/>
              </w:rPr>
              <w:t>Licensing of a patent application after publication is acceptable. Registration of licenses is a requirement.  The application for registration of licences is complex and needs to meet specific requirements; and it and the parties would be well advised to seek the assistance of local counsel</w:t>
            </w:r>
          </w:p>
        </w:tc>
      </w:tr>
      <w:tr w:rsidR="00164501" w:rsidRPr="00164501" w14:paraId="0794BBB0" w14:textId="77777777" w:rsidTr="004A0C3C">
        <w:tc>
          <w:tcPr>
            <w:tcW w:w="3005" w:type="dxa"/>
          </w:tcPr>
          <w:p w14:paraId="5F46A4D0" w14:textId="77777777" w:rsidR="00164501" w:rsidRPr="00164501" w:rsidRDefault="00164501" w:rsidP="004A0C3C">
            <w:pPr>
              <w:rPr>
                <w:rFonts w:ascii="Arial" w:hAnsi="Arial" w:cs="Arial"/>
                <w:sz w:val="18"/>
                <w:szCs w:val="18"/>
              </w:rPr>
            </w:pPr>
            <w:r w:rsidRPr="00164501">
              <w:rPr>
                <w:rFonts w:ascii="Arial" w:hAnsi="Arial" w:cs="Arial"/>
                <w:sz w:val="18"/>
                <w:szCs w:val="18"/>
              </w:rPr>
              <w:t>European Union</w:t>
            </w:r>
          </w:p>
        </w:tc>
        <w:tc>
          <w:tcPr>
            <w:tcW w:w="3005" w:type="dxa"/>
          </w:tcPr>
          <w:p w14:paraId="342DB799" w14:textId="77777777" w:rsidR="00164501" w:rsidRPr="00164501" w:rsidRDefault="00164501" w:rsidP="004A0C3C">
            <w:pPr>
              <w:pStyle w:val="BodyText"/>
              <w:tabs>
                <w:tab w:val="left" w:pos="1642"/>
              </w:tabs>
              <w:ind w:left="0"/>
              <w:rPr>
                <w:rFonts w:cs="Arial"/>
                <w:sz w:val="18"/>
                <w:szCs w:val="18"/>
              </w:rPr>
            </w:pPr>
            <w:r w:rsidRPr="00164501">
              <w:rPr>
                <w:rFonts w:cs="Arial"/>
                <w:sz w:val="18"/>
                <w:szCs w:val="18"/>
                <w:lang w:val="en-GB"/>
              </w:rPr>
              <w:t xml:space="preserve">European Patent Convention (EPC). Art. 73 EPC;  Rules 22, 23 and 24 EPC. </w:t>
            </w:r>
          </w:p>
        </w:tc>
        <w:tc>
          <w:tcPr>
            <w:tcW w:w="3006" w:type="dxa"/>
          </w:tcPr>
          <w:p w14:paraId="58E941F8" w14:textId="77777777" w:rsidR="00164501" w:rsidRPr="00164501" w:rsidRDefault="00164501" w:rsidP="004A0C3C">
            <w:pPr>
              <w:rPr>
                <w:rFonts w:ascii="Arial" w:hAnsi="Arial" w:cs="Arial"/>
                <w:sz w:val="18"/>
                <w:szCs w:val="18"/>
              </w:rPr>
            </w:pPr>
            <w:r w:rsidRPr="00164501">
              <w:rPr>
                <w:rFonts w:ascii="Arial" w:hAnsi="Arial" w:cs="Arial"/>
                <w:sz w:val="18"/>
                <w:szCs w:val="18"/>
              </w:rPr>
              <w:t>It is possible to license pending patent applications under the EPC. Licences (also explicitly mentioned exclusive licences and sub licences. Rule 24 EPC) with regard to pending patent applications can be recorded in the Register of European Patents.</w:t>
            </w:r>
          </w:p>
        </w:tc>
      </w:tr>
      <w:tr w:rsidR="00164501" w:rsidRPr="00164501" w14:paraId="34FEA2E7" w14:textId="77777777" w:rsidTr="004A0C3C">
        <w:tc>
          <w:tcPr>
            <w:tcW w:w="3005" w:type="dxa"/>
          </w:tcPr>
          <w:p w14:paraId="6FF0F453" w14:textId="77777777" w:rsidR="00164501" w:rsidRPr="00164501" w:rsidRDefault="00164501" w:rsidP="004A0C3C">
            <w:pPr>
              <w:rPr>
                <w:rFonts w:ascii="Arial" w:hAnsi="Arial" w:cs="Arial"/>
                <w:sz w:val="18"/>
                <w:szCs w:val="18"/>
              </w:rPr>
            </w:pPr>
            <w:r w:rsidRPr="00164501">
              <w:rPr>
                <w:rFonts w:ascii="Arial" w:hAnsi="Arial" w:cs="Arial"/>
                <w:sz w:val="18"/>
                <w:szCs w:val="18"/>
              </w:rPr>
              <w:t>India</w:t>
            </w:r>
          </w:p>
        </w:tc>
        <w:tc>
          <w:tcPr>
            <w:tcW w:w="3005" w:type="dxa"/>
          </w:tcPr>
          <w:p w14:paraId="09DA067F" w14:textId="77777777" w:rsidR="00164501" w:rsidRPr="00164501" w:rsidRDefault="00164501" w:rsidP="004A0C3C">
            <w:pPr>
              <w:pStyle w:val="NormalWeb"/>
              <w:rPr>
                <w:rStyle w:val="Emphasis"/>
                <w:rFonts w:ascii="Arial" w:hAnsi="Arial" w:cs="Arial"/>
                <w:i w:val="0"/>
                <w:iCs w:val="0"/>
                <w:sz w:val="18"/>
                <w:szCs w:val="18"/>
                <w:lang w:val="en-GB"/>
              </w:rPr>
            </w:pPr>
            <w:r w:rsidRPr="00164501">
              <w:rPr>
                <w:rFonts w:ascii="Arial" w:hAnsi="Arial" w:cs="Arial"/>
                <w:bCs/>
                <w:sz w:val="18"/>
                <w:szCs w:val="18"/>
                <w:lang w:val="en-GB"/>
              </w:rPr>
              <w:t>The Patent Amendments Act 15 of 2005</w:t>
            </w:r>
            <w:r w:rsidRPr="00164501">
              <w:rPr>
                <w:rStyle w:val="Emphasis"/>
                <w:rFonts w:ascii="Arial" w:hAnsi="Arial" w:cs="Arial"/>
                <w:i w:val="0"/>
                <w:sz w:val="18"/>
                <w:szCs w:val="18"/>
                <w:lang w:val="en-GB"/>
              </w:rPr>
              <w:t xml:space="preserve">. Section 11A (7)and S69  </w:t>
            </w:r>
          </w:p>
          <w:p w14:paraId="0C37F0CF" w14:textId="77777777" w:rsidR="00164501" w:rsidRPr="00164501" w:rsidRDefault="00164501" w:rsidP="004A0C3C">
            <w:pPr>
              <w:rPr>
                <w:rFonts w:ascii="Arial" w:hAnsi="Arial" w:cs="Arial"/>
                <w:sz w:val="18"/>
                <w:szCs w:val="18"/>
              </w:rPr>
            </w:pPr>
            <w:r w:rsidRPr="00164501">
              <w:rPr>
                <w:rFonts w:ascii="Arial" w:hAnsi="Arial" w:cs="Arial"/>
                <w:sz w:val="18"/>
                <w:szCs w:val="18"/>
              </w:rPr>
              <w:t>Where a pending patent is the subject matter of a licence, the terms with respect to royalty payments and restitution thereof in case of a non-grant would be governed by the terms of the licence agreement. However, for a pure patent licence, as there is no longer a licensable subject matter, the licensee would be at liberty to terminate the licence agreement subject to any additional termination provisions in the licence contract.</w:t>
            </w:r>
          </w:p>
          <w:p w14:paraId="591DF14A" w14:textId="77777777" w:rsidR="00164501" w:rsidRPr="00164501" w:rsidRDefault="00164501" w:rsidP="004A0C3C">
            <w:pPr>
              <w:pStyle w:val="NormalWeb"/>
              <w:rPr>
                <w:rFonts w:ascii="Arial" w:hAnsi="Arial" w:cs="Arial"/>
                <w:sz w:val="18"/>
                <w:szCs w:val="18"/>
              </w:rPr>
            </w:pPr>
          </w:p>
        </w:tc>
        <w:tc>
          <w:tcPr>
            <w:tcW w:w="3006" w:type="dxa"/>
          </w:tcPr>
          <w:p w14:paraId="6CBE97A5" w14:textId="77777777" w:rsidR="00164501" w:rsidRPr="00164501" w:rsidRDefault="00164501" w:rsidP="004A0C3C">
            <w:pPr>
              <w:rPr>
                <w:rStyle w:val="Emphasis"/>
                <w:rFonts w:ascii="Arial" w:hAnsi="Arial" w:cs="Arial"/>
                <w:i w:val="0"/>
                <w:sz w:val="18"/>
                <w:szCs w:val="18"/>
              </w:rPr>
            </w:pPr>
            <w:r w:rsidRPr="00164501">
              <w:rPr>
                <w:rFonts w:ascii="Arial" w:hAnsi="Arial" w:cs="Arial"/>
                <w:bCs/>
                <w:sz w:val="18"/>
                <w:szCs w:val="18"/>
              </w:rPr>
              <w:t xml:space="preserve">No </w:t>
            </w:r>
            <w:r w:rsidRPr="00164501">
              <w:rPr>
                <w:rStyle w:val="Emphasis"/>
                <w:rFonts w:ascii="Arial" w:hAnsi="Arial" w:cs="Arial"/>
                <w:i w:val="0"/>
                <w:sz w:val="18"/>
                <w:szCs w:val="18"/>
              </w:rPr>
              <w:t>express provision for the licensing of patent applications.</w:t>
            </w:r>
          </w:p>
          <w:p w14:paraId="66CC8721" w14:textId="77777777" w:rsidR="00164501" w:rsidRPr="00164501" w:rsidRDefault="00164501" w:rsidP="004A0C3C">
            <w:pPr>
              <w:rPr>
                <w:rStyle w:val="Emphasis"/>
                <w:rFonts w:ascii="Arial" w:hAnsi="Arial" w:cs="Arial"/>
                <w:i w:val="0"/>
                <w:sz w:val="18"/>
                <w:szCs w:val="18"/>
              </w:rPr>
            </w:pPr>
            <w:r w:rsidRPr="00164501">
              <w:rPr>
                <w:rStyle w:val="Emphasis"/>
                <w:rFonts w:ascii="Arial" w:hAnsi="Arial" w:cs="Arial"/>
                <w:i w:val="0"/>
                <w:sz w:val="18"/>
                <w:szCs w:val="18"/>
              </w:rPr>
              <w:t>provides that on and from the date of publication of an application for a patent until the date of grant of patent in respect of such application</w:t>
            </w:r>
            <w:r w:rsidRPr="00164501">
              <w:rPr>
                <w:rStyle w:val="Emphasis"/>
                <w:rFonts w:ascii="Arial" w:hAnsi="Arial" w:cs="Arial"/>
                <w:i w:val="0"/>
                <w:sz w:val="18"/>
                <w:szCs w:val="18"/>
                <w:u w:val="single"/>
              </w:rPr>
              <w:t>, the applicant shall have the same privileges and rights as if a patent for the invention had been granted on the date of publication, provided that the applicant shall not be entitled to institute any proceedings for infringement</w:t>
            </w:r>
            <w:r w:rsidRPr="00164501">
              <w:rPr>
                <w:rStyle w:val="Emphasis"/>
                <w:rFonts w:ascii="Arial" w:hAnsi="Arial" w:cs="Arial"/>
                <w:i w:val="0"/>
                <w:sz w:val="18"/>
                <w:szCs w:val="18"/>
              </w:rPr>
              <w:t xml:space="preserve"> until the patent has been granted. Thus there is no specific restriction to enter into a licence agreement while a published application is pending and earn royalties or licence fees from it. The risk, however, is that, as the proprietor licensor is not able to sue for patent infringement until the grant of patent, potential </w:t>
            </w:r>
            <w:r w:rsidRPr="00164501">
              <w:rPr>
                <w:rStyle w:val="Emphasis"/>
                <w:rFonts w:ascii="Arial" w:hAnsi="Arial" w:cs="Arial"/>
                <w:i w:val="0"/>
                <w:sz w:val="18"/>
                <w:szCs w:val="18"/>
              </w:rPr>
              <w:lastRenderedPageBreak/>
              <w:t>licensees may be reluctant, or even refuse, to enter into a licence and use the published invention as there is no enforceable right.</w:t>
            </w:r>
          </w:p>
          <w:p w14:paraId="4F68F64C" w14:textId="77777777" w:rsidR="00164501" w:rsidRPr="00164501" w:rsidRDefault="00164501" w:rsidP="004A0C3C">
            <w:pPr>
              <w:pStyle w:val="NormalWeb"/>
              <w:rPr>
                <w:rFonts w:ascii="Arial" w:hAnsi="Arial" w:cs="Arial"/>
                <w:sz w:val="18"/>
                <w:szCs w:val="18"/>
                <w:shd w:val="clear" w:color="auto" w:fill="FFFFFF"/>
                <w:lang w:val="en-GB"/>
              </w:rPr>
            </w:pPr>
          </w:p>
          <w:p w14:paraId="08BD9E60" w14:textId="77777777" w:rsidR="00164501" w:rsidRPr="00164501" w:rsidRDefault="00164501" w:rsidP="004A0C3C">
            <w:pPr>
              <w:pStyle w:val="NormalWeb"/>
              <w:rPr>
                <w:rFonts w:ascii="Arial" w:hAnsi="Arial" w:cs="Arial"/>
                <w:b/>
                <w:bCs/>
                <w:sz w:val="18"/>
                <w:szCs w:val="18"/>
                <w:u w:val="single"/>
                <w:lang w:val="en-GB"/>
              </w:rPr>
            </w:pPr>
            <w:r w:rsidRPr="00164501">
              <w:rPr>
                <w:rFonts w:ascii="Arial" w:hAnsi="Arial" w:cs="Arial"/>
                <w:sz w:val="18"/>
                <w:szCs w:val="18"/>
                <w:shd w:val="clear" w:color="auto" w:fill="FFFFFF"/>
                <w:lang w:val="en-GB"/>
              </w:rPr>
              <w:t>Section 69 embodies the proper procedure for registration of a licence agreement.</w:t>
            </w:r>
          </w:p>
          <w:p w14:paraId="6D717767" w14:textId="77777777" w:rsidR="00164501" w:rsidRPr="00164501" w:rsidRDefault="00164501" w:rsidP="004A0C3C">
            <w:pPr>
              <w:rPr>
                <w:rFonts w:ascii="Arial" w:hAnsi="Arial" w:cs="Arial"/>
                <w:sz w:val="18"/>
                <w:szCs w:val="18"/>
              </w:rPr>
            </w:pPr>
          </w:p>
        </w:tc>
      </w:tr>
      <w:tr w:rsidR="00164501" w:rsidRPr="00164501" w14:paraId="04DAFBC2" w14:textId="77777777" w:rsidTr="004A0C3C">
        <w:tc>
          <w:tcPr>
            <w:tcW w:w="3005" w:type="dxa"/>
          </w:tcPr>
          <w:p w14:paraId="27BC54C2" w14:textId="77777777" w:rsidR="00164501" w:rsidRPr="00164501" w:rsidRDefault="00164501" w:rsidP="004A0C3C">
            <w:pPr>
              <w:rPr>
                <w:rFonts w:ascii="Arial" w:hAnsi="Arial" w:cs="Arial"/>
                <w:sz w:val="18"/>
                <w:szCs w:val="18"/>
              </w:rPr>
            </w:pPr>
            <w:r w:rsidRPr="00164501">
              <w:rPr>
                <w:rFonts w:ascii="Arial" w:hAnsi="Arial" w:cs="Arial"/>
                <w:sz w:val="18"/>
                <w:szCs w:val="18"/>
              </w:rPr>
              <w:lastRenderedPageBreak/>
              <w:t>Indonesia</w:t>
            </w:r>
          </w:p>
        </w:tc>
        <w:tc>
          <w:tcPr>
            <w:tcW w:w="3005" w:type="dxa"/>
          </w:tcPr>
          <w:p w14:paraId="7F0C4BF9" w14:textId="77777777" w:rsidR="00164501" w:rsidRPr="00164501" w:rsidRDefault="00164501" w:rsidP="004A0C3C">
            <w:pPr>
              <w:tabs>
                <w:tab w:val="left" w:pos="638"/>
              </w:tabs>
              <w:rPr>
                <w:rFonts w:ascii="Arial" w:hAnsi="Arial" w:cs="Arial"/>
                <w:sz w:val="18"/>
                <w:szCs w:val="18"/>
              </w:rPr>
            </w:pPr>
            <w:r w:rsidRPr="00164501">
              <w:rPr>
                <w:rStyle w:val="Emphasis"/>
                <w:rFonts w:ascii="Arial" w:hAnsi="Arial" w:cs="Arial"/>
                <w:i w:val="0"/>
                <w:sz w:val="18"/>
                <w:szCs w:val="18"/>
              </w:rPr>
              <w:t xml:space="preserve">Indonesian Patent Law No. 14 of 2001. Article 1, </w:t>
            </w:r>
            <w:r w:rsidRPr="00164501">
              <w:rPr>
                <w:rFonts w:ascii="Arial" w:hAnsi="Arial" w:cs="Arial"/>
                <w:sz w:val="18"/>
                <w:szCs w:val="18"/>
              </w:rPr>
              <w:t>16 , 69, 71</w:t>
            </w:r>
            <w:r w:rsidRPr="00164501">
              <w:rPr>
                <w:rStyle w:val="Emphasis"/>
                <w:rFonts w:ascii="Arial" w:hAnsi="Arial" w:cs="Arial"/>
                <w:i w:val="0"/>
                <w:sz w:val="18"/>
                <w:szCs w:val="18"/>
                <w:lang w:eastAsia="en-ZA"/>
              </w:rPr>
              <w:t xml:space="preserve"> and 72.</w:t>
            </w:r>
            <w:r w:rsidRPr="00164501">
              <w:rPr>
                <w:rStyle w:val="Emphasis"/>
                <w:rFonts w:ascii="Arial" w:hAnsi="Arial" w:cs="Arial"/>
                <w:i w:val="0"/>
                <w:sz w:val="18"/>
                <w:szCs w:val="18"/>
              </w:rPr>
              <w:t xml:space="preserve"> </w:t>
            </w:r>
          </w:p>
        </w:tc>
        <w:tc>
          <w:tcPr>
            <w:tcW w:w="3006" w:type="dxa"/>
          </w:tcPr>
          <w:p w14:paraId="15CB83D3" w14:textId="77777777" w:rsidR="00164501" w:rsidRPr="00164501" w:rsidRDefault="00164501" w:rsidP="004A0C3C">
            <w:pPr>
              <w:pStyle w:val="NormalWeb"/>
              <w:rPr>
                <w:rStyle w:val="Emphasis"/>
                <w:rFonts w:ascii="Arial" w:hAnsi="Arial" w:cs="Arial"/>
                <w:i w:val="0"/>
                <w:iCs w:val="0"/>
                <w:sz w:val="18"/>
                <w:szCs w:val="18"/>
                <w:lang w:val="en-GB"/>
              </w:rPr>
            </w:pPr>
            <w:r w:rsidRPr="00164501">
              <w:rPr>
                <w:rStyle w:val="Emphasis"/>
                <w:rFonts w:ascii="Arial" w:hAnsi="Arial" w:cs="Arial"/>
                <w:i w:val="0"/>
                <w:sz w:val="18"/>
                <w:szCs w:val="18"/>
                <w:lang w:val="en-GB"/>
              </w:rPr>
              <w:t>It is not possible to license and earn royalties for a pending patent application in Indonesia.</w:t>
            </w:r>
          </w:p>
          <w:p w14:paraId="3B8CEC93" w14:textId="77777777" w:rsidR="00164501" w:rsidRPr="00164501" w:rsidRDefault="00164501" w:rsidP="004A0C3C">
            <w:pPr>
              <w:tabs>
                <w:tab w:val="left" w:pos="638"/>
              </w:tabs>
              <w:rPr>
                <w:rStyle w:val="Emphasis"/>
                <w:rFonts w:ascii="Arial" w:hAnsi="Arial" w:cs="Arial"/>
                <w:i w:val="0"/>
                <w:iCs w:val="0"/>
                <w:sz w:val="18"/>
                <w:szCs w:val="18"/>
              </w:rPr>
            </w:pPr>
            <w:r w:rsidRPr="00164501">
              <w:rPr>
                <w:rStyle w:val="Emphasis"/>
                <w:rFonts w:ascii="Arial" w:hAnsi="Arial" w:cs="Arial"/>
                <w:i w:val="0"/>
                <w:sz w:val="18"/>
                <w:szCs w:val="18"/>
              </w:rPr>
              <w:t>A licensing agreement shall be recorded and by the Registry to have legal effect concerning third parties.</w:t>
            </w:r>
          </w:p>
          <w:p w14:paraId="285CA2B7" w14:textId="77777777" w:rsidR="00164501" w:rsidRPr="00164501" w:rsidRDefault="00164501" w:rsidP="004A0C3C">
            <w:pPr>
              <w:pStyle w:val="NormalWeb"/>
              <w:rPr>
                <w:rFonts w:ascii="Arial" w:hAnsi="Arial" w:cs="Arial"/>
                <w:sz w:val="18"/>
                <w:szCs w:val="18"/>
              </w:rPr>
            </w:pPr>
          </w:p>
        </w:tc>
      </w:tr>
      <w:tr w:rsidR="00164501" w:rsidRPr="00164501" w14:paraId="0EC18E94" w14:textId="77777777" w:rsidTr="004A0C3C">
        <w:tc>
          <w:tcPr>
            <w:tcW w:w="3005" w:type="dxa"/>
          </w:tcPr>
          <w:p w14:paraId="5FF8FA92" w14:textId="77777777" w:rsidR="00164501" w:rsidRPr="00164501" w:rsidRDefault="00164501" w:rsidP="004A0C3C">
            <w:pPr>
              <w:rPr>
                <w:rFonts w:ascii="Arial" w:hAnsi="Arial" w:cs="Arial"/>
                <w:sz w:val="18"/>
                <w:szCs w:val="18"/>
              </w:rPr>
            </w:pPr>
            <w:r w:rsidRPr="00164501">
              <w:rPr>
                <w:rFonts w:ascii="Arial" w:hAnsi="Arial" w:cs="Arial"/>
                <w:sz w:val="18"/>
                <w:szCs w:val="18"/>
              </w:rPr>
              <w:t>Malaysia</w:t>
            </w:r>
          </w:p>
        </w:tc>
        <w:tc>
          <w:tcPr>
            <w:tcW w:w="3005" w:type="dxa"/>
          </w:tcPr>
          <w:p w14:paraId="6DB19C9C" w14:textId="77777777" w:rsidR="00164501" w:rsidRPr="00164501" w:rsidRDefault="00164501" w:rsidP="004A0C3C">
            <w:pPr>
              <w:rPr>
                <w:rFonts w:ascii="Arial" w:hAnsi="Arial" w:cs="Arial"/>
                <w:sz w:val="18"/>
                <w:szCs w:val="18"/>
              </w:rPr>
            </w:pPr>
            <w:r w:rsidRPr="00164501">
              <w:rPr>
                <w:rFonts w:ascii="Arial" w:hAnsi="Arial" w:cs="Arial"/>
                <w:sz w:val="18"/>
                <w:szCs w:val="18"/>
              </w:rPr>
              <w:t xml:space="preserve">Malaysian Patents Act 1983 Part IX (Section 41-46) </w:t>
            </w:r>
          </w:p>
        </w:tc>
        <w:tc>
          <w:tcPr>
            <w:tcW w:w="3006" w:type="dxa"/>
          </w:tcPr>
          <w:p w14:paraId="51D20A40" w14:textId="77777777" w:rsidR="00164501" w:rsidRPr="00164501" w:rsidRDefault="00164501" w:rsidP="004A0C3C">
            <w:pPr>
              <w:rPr>
                <w:rStyle w:val="Emphasis"/>
                <w:rFonts w:ascii="Arial" w:hAnsi="Arial" w:cs="Arial"/>
                <w:i w:val="0"/>
                <w:sz w:val="18"/>
                <w:szCs w:val="18"/>
              </w:rPr>
            </w:pPr>
            <w:r w:rsidRPr="00164501">
              <w:rPr>
                <w:rStyle w:val="Emphasis"/>
                <w:rFonts w:ascii="Arial" w:hAnsi="Arial" w:cs="Arial"/>
                <w:i w:val="0"/>
                <w:sz w:val="18"/>
                <w:szCs w:val="18"/>
              </w:rPr>
              <w:t>Licensing of pending patent applications is possible, but at the risk of the patent owner. The recording of a licence contract is only applicable for a granted patent in respect of which the owner of a patent (the “licensor”)</w:t>
            </w:r>
            <w:r w:rsidRPr="00164501">
              <w:rPr>
                <w:rFonts w:ascii="Arial" w:hAnsi="Arial" w:cs="Arial"/>
                <w:sz w:val="18"/>
                <w:szCs w:val="18"/>
              </w:rPr>
              <w:t xml:space="preserve"> may apply to the Registrar in accordance with the prescribed regulations for an entry to be made in the Register by which the licensor grants to another person (the “licensee”) a licence which enables/provides the licensee with the rights of the owner of the patent. </w:t>
            </w:r>
          </w:p>
          <w:p w14:paraId="01E02394" w14:textId="77777777" w:rsidR="00164501" w:rsidRPr="00164501" w:rsidRDefault="00164501" w:rsidP="004A0C3C">
            <w:pPr>
              <w:rPr>
                <w:rFonts w:ascii="Arial" w:hAnsi="Arial" w:cs="Arial"/>
                <w:sz w:val="18"/>
                <w:szCs w:val="18"/>
              </w:rPr>
            </w:pPr>
          </w:p>
        </w:tc>
      </w:tr>
      <w:tr w:rsidR="00164501" w:rsidRPr="00164501" w14:paraId="6EC70125" w14:textId="77777777" w:rsidTr="004A0C3C">
        <w:tc>
          <w:tcPr>
            <w:tcW w:w="3005" w:type="dxa"/>
          </w:tcPr>
          <w:p w14:paraId="328784E2" w14:textId="77777777" w:rsidR="00164501" w:rsidRPr="00164501" w:rsidRDefault="00164501" w:rsidP="004A0C3C">
            <w:pPr>
              <w:rPr>
                <w:rFonts w:ascii="Arial" w:hAnsi="Arial" w:cs="Arial"/>
                <w:sz w:val="18"/>
                <w:szCs w:val="18"/>
              </w:rPr>
            </w:pPr>
            <w:r w:rsidRPr="00164501">
              <w:rPr>
                <w:rFonts w:ascii="Arial" w:hAnsi="Arial" w:cs="Arial"/>
                <w:sz w:val="18"/>
                <w:szCs w:val="18"/>
              </w:rPr>
              <w:t>Singapore</w:t>
            </w:r>
          </w:p>
        </w:tc>
        <w:tc>
          <w:tcPr>
            <w:tcW w:w="3005" w:type="dxa"/>
          </w:tcPr>
          <w:p w14:paraId="140196AA" w14:textId="77777777" w:rsidR="00164501" w:rsidRPr="00164501" w:rsidRDefault="00164501" w:rsidP="004A0C3C">
            <w:pPr>
              <w:rPr>
                <w:rFonts w:ascii="Arial" w:hAnsi="Arial" w:cs="Arial"/>
                <w:sz w:val="18"/>
                <w:szCs w:val="18"/>
              </w:rPr>
            </w:pPr>
            <w:r w:rsidRPr="00164501">
              <w:rPr>
                <w:rStyle w:val="Emphasis"/>
                <w:rFonts w:ascii="Arial" w:hAnsi="Arial" w:cs="Arial"/>
                <w:i w:val="0"/>
                <w:sz w:val="18"/>
                <w:szCs w:val="18"/>
              </w:rPr>
              <w:t>Singapore Patents Act, Section 43</w:t>
            </w:r>
          </w:p>
        </w:tc>
        <w:tc>
          <w:tcPr>
            <w:tcW w:w="3006" w:type="dxa"/>
          </w:tcPr>
          <w:p w14:paraId="1BFDB2F4" w14:textId="77777777" w:rsidR="00164501" w:rsidRPr="00164501" w:rsidRDefault="00164501" w:rsidP="004A0C3C">
            <w:pPr>
              <w:rPr>
                <w:rFonts w:ascii="Arial" w:hAnsi="Arial" w:cs="Arial"/>
                <w:sz w:val="18"/>
                <w:szCs w:val="18"/>
              </w:rPr>
            </w:pPr>
            <w:r w:rsidRPr="00164501">
              <w:rPr>
                <w:rStyle w:val="Emphasis"/>
                <w:rFonts w:ascii="Arial" w:hAnsi="Arial" w:cs="Arial"/>
                <w:i w:val="0"/>
                <w:sz w:val="18"/>
                <w:szCs w:val="18"/>
              </w:rPr>
              <w:t xml:space="preserve">It is possible to license and earn royalties for a pending patent application. It is not required to record the licence agreement at the patent office for it to have commercial effect between the contracting parties </w:t>
            </w:r>
          </w:p>
        </w:tc>
      </w:tr>
      <w:tr w:rsidR="00164501" w:rsidRPr="00164501" w14:paraId="4E3ED103" w14:textId="77777777" w:rsidTr="004A0C3C">
        <w:tc>
          <w:tcPr>
            <w:tcW w:w="3005" w:type="dxa"/>
          </w:tcPr>
          <w:p w14:paraId="6383E5B8" w14:textId="77777777" w:rsidR="00164501" w:rsidRPr="00164501" w:rsidRDefault="00164501" w:rsidP="004A0C3C">
            <w:pPr>
              <w:rPr>
                <w:rFonts w:ascii="Arial" w:hAnsi="Arial" w:cs="Arial"/>
                <w:sz w:val="18"/>
                <w:szCs w:val="18"/>
              </w:rPr>
            </w:pPr>
            <w:r w:rsidRPr="00164501">
              <w:rPr>
                <w:rFonts w:ascii="Arial" w:hAnsi="Arial" w:cs="Arial"/>
                <w:sz w:val="18"/>
                <w:szCs w:val="18"/>
              </w:rPr>
              <w:t>Philippines</w:t>
            </w:r>
          </w:p>
        </w:tc>
        <w:tc>
          <w:tcPr>
            <w:tcW w:w="3005" w:type="dxa"/>
          </w:tcPr>
          <w:p w14:paraId="5610B8A8" w14:textId="77777777" w:rsidR="00164501" w:rsidRPr="00164501" w:rsidRDefault="00164501" w:rsidP="004A0C3C">
            <w:pPr>
              <w:rPr>
                <w:rStyle w:val="Emphasis"/>
                <w:rFonts w:ascii="Arial" w:hAnsi="Arial" w:cs="Arial"/>
                <w:bCs/>
                <w:i w:val="0"/>
                <w:iCs w:val="0"/>
                <w:sz w:val="18"/>
                <w:szCs w:val="18"/>
              </w:rPr>
            </w:pPr>
            <w:r w:rsidRPr="00164501">
              <w:rPr>
                <w:rFonts w:ascii="Arial" w:hAnsi="Arial" w:cs="Arial"/>
                <w:sz w:val="18"/>
                <w:szCs w:val="18"/>
              </w:rPr>
              <w:t>The Intellectual Property Code Republic Act No. 8293 (Extracts) as amended by Act No. 9502 of 2008 (effective: July 4, 2008) governs Patent Law in the Philippines.</w:t>
            </w:r>
          </w:p>
          <w:p w14:paraId="5A88E5B0" w14:textId="77777777" w:rsidR="00164501" w:rsidRPr="00164501" w:rsidRDefault="00164501" w:rsidP="004A0C3C">
            <w:pPr>
              <w:rPr>
                <w:rFonts w:ascii="Arial" w:hAnsi="Arial" w:cs="Arial"/>
                <w:sz w:val="18"/>
                <w:szCs w:val="18"/>
              </w:rPr>
            </w:pPr>
          </w:p>
        </w:tc>
        <w:tc>
          <w:tcPr>
            <w:tcW w:w="3006" w:type="dxa"/>
          </w:tcPr>
          <w:p w14:paraId="50E076EA" w14:textId="77777777" w:rsidR="00164501" w:rsidRPr="00164501" w:rsidRDefault="00164501" w:rsidP="004A0C3C">
            <w:pPr>
              <w:rPr>
                <w:rFonts w:ascii="Arial" w:hAnsi="Arial" w:cs="Arial"/>
                <w:sz w:val="18"/>
                <w:szCs w:val="18"/>
              </w:rPr>
            </w:pPr>
            <w:r w:rsidRPr="00164501">
              <w:rPr>
                <w:rStyle w:val="Emphasis"/>
                <w:rFonts w:ascii="Arial" w:hAnsi="Arial" w:cs="Arial"/>
                <w:i w:val="0"/>
                <w:sz w:val="18"/>
                <w:szCs w:val="18"/>
              </w:rPr>
              <w:t>It is possible to license and earn royalties for a pending patent application. However, licensing of pending patent applications (or patents) must comply with the mandatory (S88) and prohibited clauses (S87) of the IP Code</w:t>
            </w:r>
          </w:p>
        </w:tc>
      </w:tr>
      <w:tr w:rsidR="00164501" w:rsidRPr="00164501" w14:paraId="5903BEB3" w14:textId="77777777" w:rsidTr="004A0C3C">
        <w:tc>
          <w:tcPr>
            <w:tcW w:w="3005" w:type="dxa"/>
          </w:tcPr>
          <w:p w14:paraId="5AE55068" w14:textId="77777777" w:rsidR="00164501" w:rsidRPr="00164501" w:rsidRDefault="00164501" w:rsidP="004A0C3C">
            <w:pPr>
              <w:rPr>
                <w:rFonts w:ascii="Arial" w:hAnsi="Arial" w:cs="Arial"/>
                <w:sz w:val="18"/>
                <w:szCs w:val="18"/>
              </w:rPr>
            </w:pPr>
            <w:r w:rsidRPr="00164501">
              <w:rPr>
                <w:rFonts w:ascii="Arial" w:hAnsi="Arial" w:cs="Arial"/>
                <w:sz w:val="18"/>
                <w:szCs w:val="18"/>
              </w:rPr>
              <w:t>Japan</w:t>
            </w:r>
          </w:p>
        </w:tc>
        <w:tc>
          <w:tcPr>
            <w:tcW w:w="3005" w:type="dxa"/>
          </w:tcPr>
          <w:p w14:paraId="2A4A8A56" w14:textId="77777777" w:rsidR="00164501" w:rsidRPr="00164501" w:rsidRDefault="00164501" w:rsidP="004A0C3C">
            <w:pPr>
              <w:pStyle w:val="NormalWeb"/>
              <w:rPr>
                <w:rFonts w:ascii="Arial" w:hAnsi="Arial" w:cs="Arial"/>
                <w:sz w:val="18"/>
                <w:szCs w:val="18"/>
              </w:rPr>
            </w:pPr>
            <w:r w:rsidRPr="00164501">
              <w:rPr>
                <w:rFonts w:ascii="Arial" w:hAnsi="Arial" w:cs="Arial"/>
                <w:sz w:val="18"/>
                <w:szCs w:val="18"/>
                <w:shd w:val="clear" w:color="auto" w:fill="FFFFFF"/>
                <w:lang w:val="en-GB"/>
              </w:rPr>
              <w:t xml:space="preserve">Japanese Patent Law, </w:t>
            </w:r>
            <w:r w:rsidRPr="00164501">
              <w:rPr>
                <w:rFonts w:ascii="Arial" w:hAnsi="Arial" w:cs="Arial"/>
                <w:sz w:val="18"/>
                <w:szCs w:val="18"/>
                <w:lang w:val="en-GB"/>
              </w:rPr>
              <w:t>Law No. 16 of 2008, which came into effect on April 1, 2009, Article 34</w:t>
            </w:r>
          </w:p>
        </w:tc>
        <w:tc>
          <w:tcPr>
            <w:tcW w:w="3006" w:type="dxa"/>
          </w:tcPr>
          <w:p w14:paraId="08A9D5F2" w14:textId="77777777" w:rsidR="00164501" w:rsidRPr="00164501" w:rsidRDefault="00164501" w:rsidP="004A0C3C">
            <w:pPr>
              <w:pStyle w:val="NormalWeb"/>
              <w:rPr>
                <w:rFonts w:ascii="Arial" w:hAnsi="Arial" w:cs="Arial"/>
                <w:sz w:val="18"/>
                <w:szCs w:val="18"/>
                <w:shd w:val="clear" w:color="auto" w:fill="FFFFFF"/>
                <w:lang w:val="en-GB"/>
              </w:rPr>
            </w:pPr>
            <w:r w:rsidRPr="00164501">
              <w:rPr>
                <w:rFonts w:ascii="Arial" w:hAnsi="Arial" w:cs="Arial"/>
                <w:sz w:val="18"/>
                <w:szCs w:val="18"/>
              </w:rPr>
              <w:t>I</w:t>
            </w:r>
            <w:r w:rsidRPr="00164501">
              <w:rPr>
                <w:rFonts w:ascii="Arial" w:hAnsi="Arial" w:cs="Arial"/>
                <w:sz w:val="18"/>
                <w:szCs w:val="18"/>
                <w:lang w:val="en-GB"/>
              </w:rPr>
              <w:t xml:space="preserve">t is possible to grant </w:t>
            </w:r>
            <w:r w:rsidRPr="00164501">
              <w:rPr>
                <w:rFonts w:ascii="Arial" w:hAnsi="Arial" w:cs="Arial"/>
                <w:sz w:val="18"/>
                <w:szCs w:val="18"/>
                <w:shd w:val="clear" w:color="auto" w:fill="FFFFFF"/>
                <w:lang w:val="en-GB"/>
              </w:rPr>
              <w:t xml:space="preserve">provisional exclusive licences and provisional non-exclusive licences which are based on a pending application. </w:t>
            </w:r>
          </w:p>
          <w:p w14:paraId="76814A13" w14:textId="77777777" w:rsidR="00164501" w:rsidRPr="00164501" w:rsidRDefault="00164501" w:rsidP="004A0C3C">
            <w:pPr>
              <w:rPr>
                <w:rFonts w:ascii="Arial" w:hAnsi="Arial" w:cs="Arial"/>
                <w:sz w:val="18"/>
                <w:szCs w:val="18"/>
              </w:rPr>
            </w:pPr>
          </w:p>
        </w:tc>
      </w:tr>
      <w:tr w:rsidR="00164501" w:rsidRPr="00164501" w14:paraId="00EC37AA" w14:textId="77777777" w:rsidTr="004A0C3C">
        <w:tc>
          <w:tcPr>
            <w:tcW w:w="3005" w:type="dxa"/>
          </w:tcPr>
          <w:p w14:paraId="7FB7C658" w14:textId="77777777" w:rsidR="00164501" w:rsidRPr="00164501" w:rsidRDefault="00164501" w:rsidP="004A0C3C">
            <w:pPr>
              <w:rPr>
                <w:rFonts w:ascii="Arial" w:hAnsi="Arial" w:cs="Arial"/>
                <w:sz w:val="18"/>
                <w:szCs w:val="18"/>
              </w:rPr>
            </w:pPr>
            <w:r w:rsidRPr="00164501">
              <w:rPr>
                <w:rFonts w:ascii="Arial" w:hAnsi="Arial" w:cs="Arial"/>
                <w:sz w:val="18"/>
                <w:szCs w:val="18"/>
              </w:rPr>
              <w:t>Thailand</w:t>
            </w:r>
          </w:p>
        </w:tc>
        <w:tc>
          <w:tcPr>
            <w:tcW w:w="3005" w:type="dxa"/>
          </w:tcPr>
          <w:p w14:paraId="48411EB2" w14:textId="77777777" w:rsidR="00164501" w:rsidRPr="00164501" w:rsidRDefault="00164501" w:rsidP="004A0C3C">
            <w:pPr>
              <w:rPr>
                <w:rFonts w:ascii="Arial" w:hAnsi="Arial" w:cs="Arial"/>
                <w:sz w:val="18"/>
                <w:szCs w:val="18"/>
              </w:rPr>
            </w:pPr>
            <w:r w:rsidRPr="00164501">
              <w:rPr>
                <w:rFonts w:ascii="Arial" w:hAnsi="Arial" w:cs="Arial"/>
                <w:sz w:val="18"/>
                <w:szCs w:val="18"/>
              </w:rPr>
              <w:t>Thai Patent Act (</w:t>
            </w:r>
            <w:r w:rsidRPr="00164501">
              <w:rPr>
                <w:rFonts w:ascii="Arial" w:hAnsi="Arial" w:cs="Arial"/>
                <w:bCs/>
                <w:sz w:val="18"/>
                <w:szCs w:val="18"/>
              </w:rPr>
              <w:t>Patent Act</w:t>
            </w:r>
            <w:r w:rsidRPr="00164501">
              <w:rPr>
                <w:rFonts w:ascii="Arial" w:hAnsi="Arial" w:cs="Arial"/>
                <w:sz w:val="18"/>
                <w:szCs w:val="18"/>
              </w:rPr>
              <w:t xml:space="preserve"> B.E. 2522) Section 45(1) </w:t>
            </w:r>
            <w:r w:rsidRPr="00164501">
              <w:rPr>
                <w:rStyle w:val="Emphasis"/>
                <w:rFonts w:ascii="Arial" w:hAnsi="Arial" w:cs="Arial"/>
                <w:i w:val="0"/>
                <w:sz w:val="18"/>
                <w:szCs w:val="18"/>
              </w:rPr>
              <w:t xml:space="preserve"> </w:t>
            </w:r>
          </w:p>
        </w:tc>
        <w:tc>
          <w:tcPr>
            <w:tcW w:w="3006" w:type="dxa"/>
          </w:tcPr>
          <w:p w14:paraId="05436EE8" w14:textId="77777777" w:rsidR="00164501" w:rsidRPr="00164501" w:rsidRDefault="00164501" w:rsidP="004A0C3C">
            <w:pPr>
              <w:rPr>
                <w:rStyle w:val="Emphasis"/>
                <w:rFonts w:ascii="Arial" w:hAnsi="Arial" w:cs="Arial"/>
                <w:i w:val="0"/>
                <w:iCs w:val="0"/>
                <w:sz w:val="18"/>
                <w:szCs w:val="18"/>
              </w:rPr>
            </w:pPr>
            <w:r w:rsidRPr="00164501">
              <w:rPr>
                <w:rStyle w:val="Emphasis"/>
                <w:rFonts w:ascii="Arial" w:hAnsi="Arial" w:cs="Arial"/>
                <w:i w:val="0"/>
                <w:sz w:val="18"/>
                <w:szCs w:val="18"/>
                <w:u w:val="single"/>
              </w:rPr>
              <w:t>It is not possible</w:t>
            </w:r>
            <w:r w:rsidRPr="00164501">
              <w:rPr>
                <w:rStyle w:val="Emphasis"/>
                <w:rFonts w:ascii="Arial" w:hAnsi="Arial" w:cs="Arial"/>
                <w:i w:val="0"/>
                <w:sz w:val="18"/>
                <w:szCs w:val="18"/>
              </w:rPr>
              <w:t xml:space="preserve"> to license and earn royalties for a pending patent application in Thailand.</w:t>
            </w:r>
          </w:p>
          <w:p w14:paraId="07025E67" w14:textId="77777777" w:rsidR="00164501" w:rsidRPr="00164501" w:rsidRDefault="00164501" w:rsidP="004A0C3C">
            <w:pPr>
              <w:rPr>
                <w:rFonts w:ascii="Arial" w:hAnsi="Arial" w:cs="Arial"/>
                <w:sz w:val="18"/>
                <w:szCs w:val="18"/>
              </w:rPr>
            </w:pPr>
          </w:p>
        </w:tc>
      </w:tr>
      <w:tr w:rsidR="00164501" w:rsidRPr="00164501" w14:paraId="3768E2B9" w14:textId="77777777" w:rsidTr="004A0C3C">
        <w:tc>
          <w:tcPr>
            <w:tcW w:w="3005" w:type="dxa"/>
          </w:tcPr>
          <w:p w14:paraId="0120289D" w14:textId="77777777" w:rsidR="00164501" w:rsidRPr="00164501" w:rsidRDefault="00164501" w:rsidP="004A0C3C">
            <w:pPr>
              <w:rPr>
                <w:rFonts w:ascii="Arial" w:hAnsi="Arial" w:cs="Arial"/>
                <w:sz w:val="18"/>
                <w:szCs w:val="18"/>
              </w:rPr>
            </w:pPr>
            <w:r w:rsidRPr="00164501">
              <w:rPr>
                <w:rFonts w:ascii="Arial" w:hAnsi="Arial" w:cs="Arial"/>
                <w:sz w:val="18"/>
                <w:szCs w:val="18"/>
              </w:rPr>
              <w:t>South Africa</w:t>
            </w:r>
          </w:p>
        </w:tc>
        <w:tc>
          <w:tcPr>
            <w:tcW w:w="3005" w:type="dxa"/>
          </w:tcPr>
          <w:p w14:paraId="49C2B6D3" w14:textId="77777777" w:rsidR="00164501" w:rsidRPr="00164501" w:rsidRDefault="00164501" w:rsidP="004A0C3C">
            <w:pPr>
              <w:pStyle w:val="LegSubSection"/>
              <w:widowControl/>
              <w:spacing w:before="0"/>
              <w:ind w:firstLine="0"/>
              <w:rPr>
                <w:rFonts w:ascii="Arial" w:hAnsi="Arial" w:cs="Arial"/>
                <w:b/>
                <w:sz w:val="18"/>
                <w:szCs w:val="18"/>
                <w:lang w:val="en-GB"/>
              </w:rPr>
            </w:pPr>
            <w:r w:rsidRPr="00164501">
              <w:rPr>
                <w:rFonts w:ascii="Arial" w:hAnsi="Arial" w:cs="Arial"/>
                <w:sz w:val="18"/>
                <w:szCs w:val="18"/>
                <w:lang w:val="en-GB"/>
              </w:rPr>
              <w:t>Patents Act 57, 1978 S45 (1) ; Sections 53-58.</w:t>
            </w:r>
          </w:p>
          <w:p w14:paraId="4DEC8CEF" w14:textId="77777777" w:rsidR="00164501" w:rsidRPr="00164501" w:rsidRDefault="00164501" w:rsidP="004A0C3C">
            <w:pPr>
              <w:rPr>
                <w:rFonts w:ascii="Arial" w:hAnsi="Arial" w:cs="Arial"/>
                <w:sz w:val="18"/>
                <w:szCs w:val="18"/>
              </w:rPr>
            </w:pPr>
          </w:p>
        </w:tc>
        <w:tc>
          <w:tcPr>
            <w:tcW w:w="3006" w:type="dxa"/>
          </w:tcPr>
          <w:p w14:paraId="06E79AF9" w14:textId="77777777" w:rsidR="00164501" w:rsidRPr="00164501" w:rsidRDefault="00164501" w:rsidP="004A0C3C">
            <w:pPr>
              <w:pStyle w:val="LegSubSection"/>
              <w:widowControl/>
              <w:spacing w:before="0"/>
              <w:ind w:firstLine="0"/>
              <w:rPr>
                <w:rFonts w:ascii="Arial" w:hAnsi="Arial" w:cs="Arial"/>
                <w:sz w:val="18"/>
                <w:szCs w:val="18"/>
                <w:lang w:val="en-GB"/>
              </w:rPr>
            </w:pPr>
            <w:r w:rsidRPr="00164501">
              <w:rPr>
                <w:rFonts w:ascii="Arial" w:hAnsi="Arial" w:cs="Arial"/>
                <w:sz w:val="18"/>
                <w:szCs w:val="18"/>
                <w:lang w:val="en-GB"/>
              </w:rPr>
              <w:t>It is not possible to license a patent application in terms of South African law.</w:t>
            </w:r>
          </w:p>
          <w:p w14:paraId="7E30F661" w14:textId="77777777" w:rsidR="00164501" w:rsidRPr="00164501" w:rsidRDefault="00164501" w:rsidP="004A0C3C">
            <w:pPr>
              <w:rPr>
                <w:rFonts w:ascii="Arial" w:hAnsi="Arial" w:cs="Arial"/>
                <w:sz w:val="18"/>
                <w:szCs w:val="18"/>
              </w:rPr>
            </w:pPr>
          </w:p>
        </w:tc>
      </w:tr>
      <w:tr w:rsidR="00164501" w:rsidRPr="00164501" w14:paraId="6214BD83" w14:textId="77777777" w:rsidTr="004A0C3C">
        <w:tc>
          <w:tcPr>
            <w:tcW w:w="3005" w:type="dxa"/>
          </w:tcPr>
          <w:p w14:paraId="4DCE93DF" w14:textId="77777777" w:rsidR="00164501" w:rsidRPr="00164501" w:rsidRDefault="00164501" w:rsidP="004A0C3C">
            <w:pPr>
              <w:rPr>
                <w:rFonts w:ascii="Arial" w:hAnsi="Arial" w:cs="Arial"/>
                <w:sz w:val="18"/>
                <w:szCs w:val="18"/>
              </w:rPr>
            </w:pPr>
            <w:r w:rsidRPr="00164501">
              <w:rPr>
                <w:rFonts w:ascii="Arial" w:hAnsi="Arial" w:cs="Arial"/>
                <w:sz w:val="18"/>
                <w:szCs w:val="18"/>
              </w:rPr>
              <w:t>New Zealand</w:t>
            </w:r>
          </w:p>
        </w:tc>
        <w:tc>
          <w:tcPr>
            <w:tcW w:w="3005" w:type="dxa"/>
          </w:tcPr>
          <w:p w14:paraId="090BA27D" w14:textId="77777777" w:rsidR="00164501" w:rsidRPr="00164501" w:rsidRDefault="00164501" w:rsidP="004A0C3C">
            <w:pPr>
              <w:rPr>
                <w:rFonts w:ascii="Arial" w:hAnsi="Arial" w:cs="Arial"/>
                <w:sz w:val="18"/>
                <w:szCs w:val="18"/>
              </w:rPr>
            </w:pPr>
            <w:r w:rsidRPr="00164501">
              <w:rPr>
                <w:rFonts w:ascii="Arial" w:hAnsi="Arial" w:cs="Arial"/>
                <w:sz w:val="18"/>
                <w:szCs w:val="18"/>
              </w:rPr>
              <w:t>New Zealand Patents Act 2013. Article 18 and 81</w:t>
            </w:r>
          </w:p>
        </w:tc>
        <w:tc>
          <w:tcPr>
            <w:tcW w:w="3006" w:type="dxa"/>
          </w:tcPr>
          <w:p w14:paraId="1E654C09" w14:textId="77777777" w:rsidR="00164501" w:rsidRPr="00164501" w:rsidRDefault="00164501" w:rsidP="004A0C3C">
            <w:pPr>
              <w:rPr>
                <w:rFonts w:ascii="Arial" w:hAnsi="Arial" w:cs="Arial"/>
                <w:sz w:val="18"/>
                <w:szCs w:val="18"/>
              </w:rPr>
            </w:pPr>
            <w:r w:rsidRPr="00164501">
              <w:rPr>
                <w:rFonts w:ascii="Arial" w:hAnsi="Arial" w:cs="Arial"/>
                <w:color w:val="000000"/>
                <w:sz w:val="18"/>
                <w:szCs w:val="18"/>
              </w:rPr>
              <w:t xml:space="preserve">After a complete specification relating to a patent application has become open to public inspection and until a patent is granted on the application, </w:t>
            </w:r>
            <w:r w:rsidRPr="00164501">
              <w:rPr>
                <w:rFonts w:ascii="Arial" w:hAnsi="Arial" w:cs="Arial"/>
                <w:color w:val="000000"/>
                <w:sz w:val="18"/>
                <w:szCs w:val="18"/>
                <w:u w:val="single"/>
              </w:rPr>
              <w:t xml:space="preserve">the nominated person </w:t>
            </w:r>
            <w:r w:rsidRPr="00164501">
              <w:rPr>
                <w:rFonts w:ascii="Arial" w:hAnsi="Arial" w:cs="Arial"/>
                <w:color w:val="000000"/>
                <w:sz w:val="18"/>
                <w:szCs w:val="18"/>
                <w:u w:val="single"/>
              </w:rPr>
              <w:lastRenderedPageBreak/>
              <w:t>has the same privileges and rights as the nominated person would have had if a patent for the invention had been granted on the day when the specification became open to public inspection</w:t>
            </w:r>
            <w:r w:rsidRPr="00164501">
              <w:rPr>
                <w:rFonts w:ascii="Arial" w:hAnsi="Arial" w:cs="Arial"/>
                <w:color w:val="000000"/>
                <w:sz w:val="18"/>
                <w:szCs w:val="18"/>
              </w:rPr>
              <w:t xml:space="preserve">. </w:t>
            </w:r>
            <w:r w:rsidRPr="00164501">
              <w:rPr>
                <w:rFonts w:ascii="Arial" w:hAnsi="Arial" w:cs="Arial"/>
                <w:sz w:val="18"/>
                <w:szCs w:val="18"/>
              </w:rPr>
              <w:t xml:space="preserve">A patent license agreement must be registered </w:t>
            </w:r>
            <w:r w:rsidRPr="00164501">
              <w:rPr>
                <w:rFonts w:ascii="Arial" w:hAnsi="Arial" w:cs="Arial"/>
                <w:sz w:val="18"/>
                <w:szCs w:val="18"/>
                <w:u w:val="single"/>
              </w:rPr>
              <w:t>after</w:t>
            </w:r>
            <w:r w:rsidRPr="00164501">
              <w:rPr>
                <w:rFonts w:ascii="Arial" w:hAnsi="Arial" w:cs="Arial"/>
                <w:sz w:val="18"/>
                <w:szCs w:val="18"/>
              </w:rPr>
              <w:t xml:space="preserve"> the grant of the patent, even if the licence agreement was prepared and signed before the patent was granted.</w:t>
            </w:r>
          </w:p>
          <w:p w14:paraId="2F22B8B5" w14:textId="77777777" w:rsidR="00164501" w:rsidRPr="00164501" w:rsidRDefault="00164501" w:rsidP="004A0C3C">
            <w:pPr>
              <w:rPr>
                <w:rFonts w:ascii="Arial" w:hAnsi="Arial" w:cs="Arial"/>
                <w:sz w:val="18"/>
                <w:szCs w:val="18"/>
              </w:rPr>
            </w:pPr>
          </w:p>
        </w:tc>
      </w:tr>
      <w:tr w:rsidR="00164501" w:rsidRPr="00164501" w14:paraId="36CF93E0" w14:textId="77777777" w:rsidTr="004A0C3C">
        <w:tc>
          <w:tcPr>
            <w:tcW w:w="3005" w:type="dxa"/>
          </w:tcPr>
          <w:p w14:paraId="50B7288D" w14:textId="77777777" w:rsidR="00164501" w:rsidRPr="00164501" w:rsidRDefault="00164501" w:rsidP="004A0C3C">
            <w:pPr>
              <w:rPr>
                <w:rFonts w:ascii="Arial" w:hAnsi="Arial" w:cs="Arial"/>
                <w:sz w:val="18"/>
                <w:szCs w:val="18"/>
              </w:rPr>
            </w:pPr>
            <w:r w:rsidRPr="00164501">
              <w:rPr>
                <w:rFonts w:ascii="Arial" w:hAnsi="Arial" w:cs="Arial"/>
                <w:sz w:val="18"/>
                <w:szCs w:val="18"/>
              </w:rPr>
              <w:lastRenderedPageBreak/>
              <w:t>USA</w:t>
            </w:r>
          </w:p>
        </w:tc>
        <w:tc>
          <w:tcPr>
            <w:tcW w:w="3005" w:type="dxa"/>
          </w:tcPr>
          <w:p w14:paraId="1D9B7A86" w14:textId="77777777" w:rsidR="00164501" w:rsidRPr="00164501" w:rsidRDefault="00164501" w:rsidP="004A0C3C">
            <w:pPr>
              <w:rPr>
                <w:rFonts w:ascii="Arial" w:hAnsi="Arial" w:cs="Arial"/>
                <w:sz w:val="18"/>
                <w:szCs w:val="18"/>
              </w:rPr>
            </w:pPr>
            <w:r w:rsidRPr="00164501">
              <w:rPr>
                <w:rFonts w:ascii="Arial" w:hAnsi="Arial" w:cs="Arial"/>
                <w:sz w:val="18"/>
                <w:szCs w:val="18"/>
                <w:shd w:val="clear" w:color="auto" w:fill="FFFFFF"/>
              </w:rPr>
              <w:t xml:space="preserve">American Inventor Protection Act of 1999," </w:t>
            </w:r>
            <w:r w:rsidRPr="00164501">
              <w:rPr>
                <w:rFonts w:ascii="Arial" w:hAnsi="Arial" w:cs="Arial"/>
                <w:sz w:val="18"/>
                <w:szCs w:val="18"/>
              </w:rPr>
              <w:t xml:space="preserve">35 U.S.C. § </w:t>
            </w:r>
            <w:r w:rsidRPr="00164501">
              <w:rPr>
                <w:rFonts w:ascii="Arial" w:hAnsi="Arial" w:cs="Arial"/>
                <w:sz w:val="18"/>
                <w:szCs w:val="18"/>
                <w:shd w:val="clear" w:color="auto" w:fill="FFFFFF"/>
              </w:rPr>
              <w:t>154(d)</w:t>
            </w:r>
          </w:p>
        </w:tc>
        <w:tc>
          <w:tcPr>
            <w:tcW w:w="3006" w:type="dxa"/>
          </w:tcPr>
          <w:p w14:paraId="70B81D3A" w14:textId="77777777" w:rsidR="00164501" w:rsidRPr="00164501" w:rsidRDefault="00164501" w:rsidP="004A0C3C">
            <w:pPr>
              <w:pStyle w:val="NormalWeb"/>
              <w:shd w:val="clear" w:color="auto" w:fill="FFFFFF"/>
              <w:rPr>
                <w:rFonts w:ascii="Arial" w:hAnsi="Arial" w:cs="Arial"/>
                <w:sz w:val="18"/>
                <w:szCs w:val="18"/>
                <w:lang w:val="en-GB"/>
              </w:rPr>
            </w:pPr>
            <w:r w:rsidRPr="00164501">
              <w:rPr>
                <w:rFonts w:ascii="Arial" w:hAnsi="Arial" w:cs="Arial"/>
                <w:sz w:val="18"/>
                <w:szCs w:val="18"/>
                <w:lang w:val="en-GB"/>
              </w:rPr>
              <w:t xml:space="preserve">Patentee may acquire a reasonable royalty from a third party that infringes a </w:t>
            </w:r>
            <w:r w:rsidRPr="00164501">
              <w:rPr>
                <w:rFonts w:ascii="Arial" w:hAnsi="Arial" w:cs="Arial"/>
                <w:sz w:val="18"/>
                <w:szCs w:val="18"/>
                <w:u w:val="single"/>
                <w:lang w:val="en-GB"/>
              </w:rPr>
              <w:t>published application claim</w:t>
            </w:r>
            <w:r w:rsidRPr="00164501">
              <w:rPr>
                <w:rFonts w:ascii="Arial" w:hAnsi="Arial" w:cs="Arial"/>
                <w:sz w:val="18"/>
                <w:szCs w:val="18"/>
                <w:lang w:val="en-GB"/>
              </w:rPr>
              <w:t xml:space="preserve"> provided: actual</w:t>
            </w:r>
            <w:r w:rsidRPr="00164501">
              <w:rPr>
                <w:rStyle w:val="apple-converted-space"/>
                <w:rFonts w:ascii="Arial" w:hAnsi="Arial" w:cs="Arial"/>
                <w:sz w:val="18"/>
                <w:szCs w:val="18"/>
                <w:lang w:val="en-GB"/>
              </w:rPr>
              <w:t xml:space="preserve"> </w:t>
            </w:r>
            <w:r w:rsidRPr="00164501">
              <w:rPr>
                <w:rStyle w:val="Strong"/>
                <w:rFonts w:ascii="Arial" w:hAnsi="Arial" w:cs="Arial"/>
                <w:sz w:val="18"/>
                <w:szCs w:val="18"/>
                <w:lang w:val="en-GB"/>
              </w:rPr>
              <w:t>notice</w:t>
            </w:r>
            <w:r w:rsidRPr="00164501">
              <w:rPr>
                <w:rStyle w:val="apple-converted-space"/>
                <w:rFonts w:ascii="Arial" w:hAnsi="Arial" w:cs="Arial"/>
                <w:sz w:val="18"/>
                <w:szCs w:val="18"/>
                <w:lang w:val="en-GB"/>
              </w:rPr>
              <w:t xml:space="preserve"> </w:t>
            </w:r>
            <w:r w:rsidRPr="00164501">
              <w:rPr>
                <w:rFonts w:ascii="Arial" w:hAnsi="Arial" w:cs="Arial"/>
                <w:sz w:val="18"/>
                <w:szCs w:val="18"/>
                <w:lang w:val="en-GB"/>
              </w:rPr>
              <w:t xml:space="preserve">is given to the third party by the applicant (the inventor needs to send a cease-and-desist letter), and </w:t>
            </w:r>
            <w:r w:rsidRPr="00164501">
              <w:rPr>
                <w:rStyle w:val="Strong"/>
                <w:rFonts w:ascii="Arial" w:hAnsi="Arial" w:cs="Arial"/>
                <w:b w:val="0"/>
                <w:sz w:val="18"/>
                <w:szCs w:val="18"/>
                <w:lang w:val="en-GB"/>
              </w:rPr>
              <w:t>a patent issues</w:t>
            </w:r>
            <w:r w:rsidRPr="00164501">
              <w:rPr>
                <w:rStyle w:val="apple-converted-space"/>
                <w:rFonts w:ascii="Arial" w:hAnsi="Arial" w:cs="Arial"/>
                <w:sz w:val="18"/>
                <w:szCs w:val="18"/>
                <w:lang w:val="en-GB"/>
              </w:rPr>
              <w:t xml:space="preserve"> </w:t>
            </w:r>
            <w:r w:rsidRPr="00164501">
              <w:rPr>
                <w:rFonts w:ascii="Arial" w:hAnsi="Arial" w:cs="Arial"/>
                <w:sz w:val="18"/>
                <w:szCs w:val="18"/>
                <w:lang w:val="en-GB"/>
              </w:rPr>
              <w:t>from the application with a substantially identical claim.</w:t>
            </w:r>
          </w:p>
          <w:p w14:paraId="62461CE6" w14:textId="77777777" w:rsidR="00164501" w:rsidRPr="00164501" w:rsidRDefault="00164501" w:rsidP="004A0C3C">
            <w:pPr>
              <w:rPr>
                <w:rFonts w:ascii="Arial" w:hAnsi="Arial" w:cs="Arial"/>
                <w:sz w:val="18"/>
                <w:szCs w:val="18"/>
              </w:rPr>
            </w:pPr>
          </w:p>
        </w:tc>
      </w:tr>
      <w:bookmarkEnd w:id="2"/>
      <w:bookmarkEnd w:id="3"/>
      <w:bookmarkEnd w:id="4"/>
    </w:tbl>
    <w:p w14:paraId="5468B691" w14:textId="77777777" w:rsidR="00164501" w:rsidRPr="00164501" w:rsidRDefault="00164501" w:rsidP="00164501">
      <w:pPr>
        <w:rPr>
          <w:rFonts w:ascii="Arial" w:hAnsi="Arial" w:cs="Arial"/>
          <w:sz w:val="18"/>
          <w:szCs w:val="18"/>
        </w:rPr>
      </w:pPr>
    </w:p>
    <w:bookmarkEnd w:id="0"/>
    <w:bookmarkEnd w:id="1"/>
    <w:p w14:paraId="5D0DA672" w14:textId="7B36A937" w:rsidR="00FC4007" w:rsidRDefault="00FC4007" w:rsidP="00164501">
      <w:pPr>
        <w:spacing w:line="480" w:lineRule="auto"/>
        <w:jc w:val="both"/>
        <w:rPr>
          <w:rFonts w:ascii="Arial" w:hAnsi="Arial" w:cs="Arial"/>
          <w:i/>
        </w:rPr>
      </w:pPr>
      <w:r w:rsidRPr="00164501">
        <w:rPr>
          <w:rFonts w:ascii="Arial" w:hAnsi="Arial" w:cs="Arial"/>
          <w:i/>
        </w:rPr>
        <w:t xml:space="preserve"> </w:t>
      </w:r>
    </w:p>
    <w:p w14:paraId="58121057" w14:textId="77777777" w:rsidR="00164501" w:rsidRDefault="00164501" w:rsidP="00164501">
      <w:pPr>
        <w:spacing w:line="360" w:lineRule="auto"/>
        <w:jc w:val="right"/>
        <w:rPr>
          <w:rFonts w:ascii="Arial" w:hAnsi="Arial" w:cs="Arial"/>
          <w:b/>
          <w:szCs w:val="22"/>
        </w:rPr>
      </w:pPr>
      <w:r>
        <w:rPr>
          <w:rFonts w:ascii="Arial" w:hAnsi="Arial" w:cs="Arial"/>
          <w:b/>
          <w:szCs w:val="22"/>
        </w:rPr>
        <w:t>Dr. Madelein Kleyn</w:t>
      </w:r>
    </w:p>
    <w:p w14:paraId="4164791C" w14:textId="11E3887C" w:rsidR="00164501" w:rsidRPr="00164501" w:rsidRDefault="00164501" w:rsidP="00164501">
      <w:pPr>
        <w:spacing w:line="360" w:lineRule="auto"/>
        <w:jc w:val="right"/>
        <w:rPr>
          <w:rFonts w:ascii="Arial" w:hAnsi="Arial" w:cs="Arial"/>
          <w:szCs w:val="22"/>
        </w:rPr>
      </w:pPr>
      <w:r w:rsidRPr="00164501">
        <w:rPr>
          <w:rFonts w:ascii="Arial" w:hAnsi="Arial" w:cs="Arial"/>
          <w:szCs w:val="22"/>
        </w:rPr>
        <w:t>Fellow</w:t>
      </w:r>
    </w:p>
    <w:p w14:paraId="01073BD1" w14:textId="4196D063" w:rsidR="00164501" w:rsidRPr="00164501" w:rsidRDefault="00164501" w:rsidP="00164501">
      <w:pPr>
        <w:spacing w:line="360" w:lineRule="auto"/>
        <w:jc w:val="right"/>
        <w:rPr>
          <w:rFonts w:ascii="Arial" w:hAnsi="Arial" w:cs="Arial"/>
          <w:szCs w:val="22"/>
        </w:rPr>
      </w:pPr>
      <w:r w:rsidRPr="00164501">
        <w:rPr>
          <w:rFonts w:ascii="Arial" w:hAnsi="Arial" w:cs="Arial"/>
          <w:szCs w:val="22"/>
        </w:rPr>
        <w:t xml:space="preserve">Anton Mostert Chair of Intellectual Property Law </w:t>
      </w:r>
    </w:p>
    <w:p w14:paraId="37278EBC" w14:textId="0D8E77ED" w:rsidR="00164501" w:rsidRPr="00164501" w:rsidRDefault="00164501" w:rsidP="00164501">
      <w:pPr>
        <w:spacing w:line="360" w:lineRule="auto"/>
        <w:jc w:val="right"/>
        <w:rPr>
          <w:rFonts w:ascii="Arial" w:hAnsi="Arial" w:cs="Arial"/>
          <w:szCs w:val="22"/>
        </w:rPr>
      </w:pPr>
      <w:r w:rsidRPr="00164501">
        <w:rPr>
          <w:rFonts w:ascii="Arial" w:hAnsi="Arial" w:cs="Arial"/>
          <w:szCs w:val="22"/>
        </w:rPr>
        <w:t>Stellenbosch University</w:t>
      </w:r>
    </w:p>
    <w:p w14:paraId="2C559130" w14:textId="4809B312" w:rsidR="00164501" w:rsidRPr="00164501" w:rsidRDefault="00164501" w:rsidP="00164501">
      <w:pPr>
        <w:spacing w:line="360" w:lineRule="auto"/>
        <w:jc w:val="right"/>
        <w:rPr>
          <w:rFonts w:ascii="Arial" w:hAnsi="Arial" w:cs="Arial"/>
          <w:szCs w:val="22"/>
        </w:rPr>
      </w:pPr>
      <w:r w:rsidRPr="00164501">
        <w:rPr>
          <w:rFonts w:ascii="Arial" w:hAnsi="Arial" w:cs="Arial"/>
          <w:szCs w:val="22"/>
        </w:rPr>
        <w:t>General Manager, Legal of Oro Agri International Ltd (www.oroagri.</w:t>
      </w:r>
      <w:bookmarkStart w:id="5" w:name="_GoBack"/>
      <w:bookmarkEnd w:id="5"/>
      <w:r w:rsidRPr="00164501">
        <w:rPr>
          <w:rFonts w:ascii="Arial" w:hAnsi="Arial" w:cs="Arial"/>
          <w:szCs w:val="22"/>
        </w:rPr>
        <w:t>com)</w:t>
      </w:r>
    </w:p>
    <w:p w14:paraId="68DE1EEE" w14:textId="77777777" w:rsidR="00164501" w:rsidRPr="00164501" w:rsidRDefault="00164501" w:rsidP="00164501">
      <w:pPr>
        <w:spacing w:line="480" w:lineRule="auto"/>
        <w:jc w:val="right"/>
        <w:rPr>
          <w:rFonts w:ascii="Arial" w:hAnsi="Arial" w:cs="Arial"/>
        </w:rPr>
      </w:pPr>
    </w:p>
    <w:sectPr w:rsidR="00164501" w:rsidRPr="00164501" w:rsidSect="008F1BA0">
      <w:headerReference w:type="default" r:id="rId9"/>
      <w:headerReference w:type="first" r:id="rId10"/>
      <w:footerReference w:type="first" r:id="rId11"/>
      <w:pgSz w:w="11900" w:h="16840"/>
      <w:pgMar w:top="1440" w:right="1440" w:bottom="1440" w:left="1440" w:header="360" w:footer="7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68D3E" w14:textId="77777777" w:rsidR="006A0045" w:rsidRDefault="006A0045">
      <w:r>
        <w:separator/>
      </w:r>
    </w:p>
  </w:endnote>
  <w:endnote w:type="continuationSeparator" w:id="0">
    <w:p w14:paraId="1F9C4727" w14:textId="77777777" w:rsidR="006A0045" w:rsidRDefault="006A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43789" w14:textId="77777777" w:rsidR="008F1BA0" w:rsidRPr="00A03DAF" w:rsidRDefault="008F1BA0" w:rsidP="008F1BA0">
    <w:pPr>
      <w:rPr>
        <w:rFonts w:ascii="Century Gothic" w:hAnsi="Century Gothic"/>
      </w:rPr>
    </w:pPr>
  </w:p>
  <w:tbl>
    <w:tblPr>
      <w:tblW w:w="13140" w:type="dxa"/>
      <w:tblInd w:w="-1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416"/>
      <w:gridCol w:w="2032"/>
      <w:gridCol w:w="3060"/>
      <w:gridCol w:w="540"/>
      <w:gridCol w:w="2700"/>
      <w:gridCol w:w="1080"/>
      <w:gridCol w:w="540"/>
      <w:gridCol w:w="288"/>
      <w:gridCol w:w="1224"/>
      <w:gridCol w:w="180"/>
    </w:tblGrid>
    <w:tr w:rsidR="008F1BA0" w:rsidRPr="00A03DAF" w14:paraId="2781A7D8" w14:textId="77777777" w:rsidTr="00942270">
      <w:trPr>
        <w:gridBefore w:val="1"/>
        <w:gridAfter w:val="2"/>
        <w:wBefore w:w="1080" w:type="dxa"/>
        <w:wAfter w:w="1404" w:type="dxa"/>
      </w:trPr>
      <w:tc>
        <w:tcPr>
          <w:tcW w:w="10656" w:type="dxa"/>
          <w:gridSpan w:val="8"/>
          <w:tcBorders>
            <w:top w:val="nil"/>
            <w:left w:val="nil"/>
            <w:bottom w:val="nil"/>
            <w:right w:val="nil"/>
          </w:tcBorders>
        </w:tcPr>
        <w:p w14:paraId="35C37C3B" w14:textId="77777777" w:rsidR="008F1BA0" w:rsidRPr="00A03DAF" w:rsidRDefault="008F1BA0" w:rsidP="00942270">
          <w:pPr>
            <w:rPr>
              <w:rFonts w:ascii="Century Gothic" w:hAnsi="Century Gothic"/>
            </w:rPr>
          </w:pPr>
          <w:r w:rsidRPr="00A03DAF">
            <w:rPr>
              <w:rFonts w:ascii="Century Gothic" w:hAnsi="Century Gothic"/>
              <w:sz w:val="16"/>
            </w:rPr>
            <w:drawing>
              <wp:anchor distT="0" distB="0" distL="114300" distR="114300" simplePos="0" relativeHeight="251660288" behindDoc="0" locked="0" layoutInCell="1" allowOverlap="1" wp14:anchorId="49545DA6" wp14:editId="44997788">
                <wp:simplePos x="0" y="0"/>
                <wp:positionH relativeFrom="column">
                  <wp:posOffset>6217920</wp:posOffset>
                </wp:positionH>
                <wp:positionV relativeFrom="paragraph">
                  <wp:posOffset>588645</wp:posOffset>
                </wp:positionV>
                <wp:extent cx="393700" cy="266700"/>
                <wp:effectExtent l="0" t="0" r="12700" b="12700"/>
                <wp:wrapNone/>
                <wp:docPr id="9" name="Picture 9" descr="G:\CPTMAC2\UNIVERSITEIT STELLENBOSCH\US144F~1\pc templates\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PTMAC2\UNIVERSITEIT STELLENBOSCH\US144F~1\pc templates\lea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DAF">
            <w:rPr>
              <w:rFonts w:ascii="Century Gothic" w:hAnsi="Century Gothic"/>
            </w:rPr>
            <w:drawing>
              <wp:inline distT="0" distB="0" distL="0" distR="0" wp14:anchorId="4E8B6828" wp14:editId="5527B8DF">
                <wp:extent cx="2030329" cy="635000"/>
                <wp:effectExtent l="0" t="0" r="1905" b="0"/>
                <wp:docPr id="10" name="Picture 10" descr="..\..\..\LOGO MASTER COPY\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STER COPY\jpg\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329" cy="635000"/>
                        </a:xfrm>
                        <a:prstGeom prst="rect">
                          <a:avLst/>
                        </a:prstGeom>
                        <a:noFill/>
                        <a:ln>
                          <a:noFill/>
                        </a:ln>
                      </pic:spPr>
                    </pic:pic>
                  </a:graphicData>
                </a:graphic>
              </wp:inline>
            </w:drawing>
          </w:r>
        </w:p>
      </w:tc>
    </w:tr>
    <w:tr w:rsidR="008F1BA0" w:rsidRPr="00A03DAF" w14:paraId="110503FB" w14:textId="77777777" w:rsidTr="00942270">
      <w:tblPrEx>
        <w:tblBorders>
          <w:top w:val="single" w:sz="8" w:space="0" w:color="8C969C"/>
          <w:left w:val="none" w:sz="0" w:space="0" w:color="auto"/>
          <w:bottom w:val="none" w:sz="0" w:space="0" w:color="auto"/>
          <w:right w:val="none" w:sz="0" w:space="0" w:color="auto"/>
          <w:insideH w:val="none" w:sz="0" w:space="0" w:color="auto"/>
          <w:insideV w:val="none" w:sz="0" w:space="0" w:color="auto"/>
        </w:tblBorders>
      </w:tblPrEx>
      <w:trPr>
        <w:gridAfter w:val="1"/>
        <w:wAfter w:w="180" w:type="dxa"/>
        <w:cantSplit/>
      </w:trPr>
      <w:tc>
        <w:tcPr>
          <w:tcW w:w="11448" w:type="dxa"/>
          <w:gridSpan w:val="8"/>
          <w:tcBorders>
            <w:top w:val="nil"/>
            <w:bottom w:val="single" w:sz="6" w:space="0" w:color="8C969C"/>
          </w:tcBorders>
        </w:tcPr>
        <w:p w14:paraId="3410DD17" w14:textId="77777777" w:rsidR="008F1BA0" w:rsidRPr="00A03DAF" w:rsidRDefault="008F1BA0" w:rsidP="00942270">
          <w:pPr>
            <w:pStyle w:val="Footer"/>
            <w:ind w:left="2052"/>
            <w:jc w:val="center"/>
            <w:rPr>
              <w:rFonts w:ascii="Century Gothic" w:hAnsi="Century Gothic"/>
              <w:b/>
              <w:bCs/>
              <w:sz w:val="16"/>
            </w:rPr>
          </w:pPr>
        </w:p>
      </w:tc>
      <w:tc>
        <w:tcPr>
          <w:tcW w:w="1512" w:type="dxa"/>
          <w:gridSpan w:val="2"/>
          <w:tcBorders>
            <w:top w:val="nil"/>
          </w:tcBorders>
        </w:tcPr>
        <w:p w14:paraId="05FE8A1C" w14:textId="77777777" w:rsidR="008F1BA0" w:rsidRPr="00A03DAF" w:rsidRDefault="008F1BA0" w:rsidP="00942270">
          <w:pPr>
            <w:pStyle w:val="Footer"/>
            <w:ind w:right="180"/>
            <w:rPr>
              <w:rFonts w:ascii="Century Gothic" w:hAnsi="Century Gothic"/>
              <w:sz w:val="16"/>
            </w:rPr>
          </w:pPr>
        </w:p>
      </w:tc>
    </w:tr>
    <w:tr w:rsidR="008F1BA0" w:rsidRPr="00A03DAF" w14:paraId="7996A7BA" w14:textId="77777777" w:rsidTr="00942270">
      <w:trPr>
        <w:gridBefore w:val="1"/>
        <w:wBefore w:w="1080" w:type="dxa"/>
        <w:cantSplit/>
        <w:trHeight w:val="124"/>
      </w:trPr>
      <w:tc>
        <w:tcPr>
          <w:tcW w:w="416" w:type="dxa"/>
          <w:tcBorders>
            <w:top w:val="nil"/>
            <w:left w:val="nil"/>
            <w:bottom w:val="nil"/>
            <w:right w:val="nil"/>
          </w:tcBorders>
        </w:tcPr>
        <w:p w14:paraId="08766351" w14:textId="77777777" w:rsidR="008F1BA0" w:rsidRPr="00A03DAF" w:rsidRDefault="008F1BA0" w:rsidP="00942270">
          <w:pPr>
            <w:pStyle w:val="Footer"/>
            <w:rPr>
              <w:rFonts w:ascii="Century Gothic" w:hAnsi="Century Gothic"/>
              <w:sz w:val="4"/>
            </w:rPr>
          </w:pPr>
        </w:p>
      </w:tc>
      <w:tc>
        <w:tcPr>
          <w:tcW w:w="2032" w:type="dxa"/>
          <w:tcBorders>
            <w:top w:val="nil"/>
            <w:left w:val="nil"/>
            <w:bottom w:val="nil"/>
            <w:right w:val="nil"/>
          </w:tcBorders>
        </w:tcPr>
        <w:p w14:paraId="40CCD791" w14:textId="77777777" w:rsidR="008F1BA0" w:rsidRPr="00A03DAF" w:rsidRDefault="008F1BA0" w:rsidP="00942270">
          <w:pPr>
            <w:pStyle w:val="Footer"/>
            <w:spacing w:before="40" w:after="40"/>
            <w:rPr>
              <w:rFonts w:ascii="Century Gothic" w:hAnsi="Century Gothic"/>
              <w:sz w:val="4"/>
            </w:rPr>
          </w:pPr>
        </w:p>
      </w:tc>
      <w:tc>
        <w:tcPr>
          <w:tcW w:w="3060" w:type="dxa"/>
          <w:tcBorders>
            <w:top w:val="nil"/>
            <w:left w:val="nil"/>
            <w:bottom w:val="nil"/>
            <w:right w:val="nil"/>
          </w:tcBorders>
        </w:tcPr>
        <w:p w14:paraId="0D76B7E9" w14:textId="77777777" w:rsidR="008F1BA0" w:rsidRPr="00A03DAF" w:rsidRDefault="008F1BA0" w:rsidP="00942270">
          <w:pPr>
            <w:pStyle w:val="Footer"/>
            <w:spacing w:before="40" w:after="40"/>
            <w:rPr>
              <w:rFonts w:ascii="Century Gothic" w:hAnsi="Century Gothic"/>
              <w:b/>
              <w:bCs/>
              <w:sz w:val="4"/>
            </w:rPr>
          </w:pPr>
        </w:p>
      </w:tc>
      <w:tc>
        <w:tcPr>
          <w:tcW w:w="540" w:type="dxa"/>
          <w:tcBorders>
            <w:top w:val="nil"/>
            <w:left w:val="nil"/>
            <w:bottom w:val="nil"/>
            <w:right w:val="nil"/>
          </w:tcBorders>
        </w:tcPr>
        <w:p w14:paraId="1E7A1E25" w14:textId="77777777" w:rsidR="008F1BA0" w:rsidRPr="00A03DAF" w:rsidRDefault="008F1BA0" w:rsidP="00942270">
          <w:pPr>
            <w:pStyle w:val="Footer"/>
            <w:spacing w:before="40" w:after="40"/>
            <w:rPr>
              <w:rFonts w:ascii="Century Gothic" w:hAnsi="Century Gothic"/>
              <w:sz w:val="4"/>
            </w:rPr>
          </w:pPr>
        </w:p>
      </w:tc>
      <w:tc>
        <w:tcPr>
          <w:tcW w:w="2700" w:type="dxa"/>
          <w:tcBorders>
            <w:top w:val="nil"/>
            <w:left w:val="nil"/>
            <w:bottom w:val="nil"/>
            <w:right w:val="nil"/>
          </w:tcBorders>
        </w:tcPr>
        <w:p w14:paraId="4DE32345" w14:textId="77777777" w:rsidR="008F1BA0" w:rsidRPr="00A03DAF" w:rsidRDefault="008F1BA0" w:rsidP="00942270">
          <w:pPr>
            <w:pStyle w:val="Footer"/>
            <w:spacing w:before="40" w:after="40"/>
            <w:rPr>
              <w:rFonts w:ascii="Century Gothic" w:hAnsi="Century Gothic"/>
              <w:b/>
              <w:bCs/>
              <w:sz w:val="4"/>
            </w:rPr>
          </w:pPr>
        </w:p>
      </w:tc>
      <w:tc>
        <w:tcPr>
          <w:tcW w:w="1080" w:type="dxa"/>
          <w:tcBorders>
            <w:top w:val="nil"/>
            <w:left w:val="nil"/>
            <w:bottom w:val="nil"/>
            <w:right w:val="nil"/>
          </w:tcBorders>
        </w:tcPr>
        <w:p w14:paraId="1DCCDFE4" w14:textId="77777777" w:rsidR="008F1BA0" w:rsidRPr="00A03DAF" w:rsidRDefault="008F1BA0" w:rsidP="00942270">
          <w:pPr>
            <w:pStyle w:val="Footer"/>
            <w:spacing w:before="40" w:after="40"/>
            <w:rPr>
              <w:rFonts w:ascii="Century Gothic" w:hAnsi="Century Gothic"/>
              <w:sz w:val="4"/>
            </w:rPr>
          </w:pPr>
        </w:p>
      </w:tc>
      <w:tc>
        <w:tcPr>
          <w:tcW w:w="2232" w:type="dxa"/>
          <w:gridSpan w:val="4"/>
          <w:tcBorders>
            <w:top w:val="nil"/>
            <w:left w:val="nil"/>
            <w:bottom w:val="nil"/>
            <w:right w:val="nil"/>
          </w:tcBorders>
        </w:tcPr>
        <w:p w14:paraId="57B5EECA" w14:textId="77777777" w:rsidR="008F1BA0" w:rsidRPr="00A03DAF" w:rsidRDefault="008F1BA0" w:rsidP="00942270">
          <w:pPr>
            <w:pStyle w:val="Footer"/>
            <w:spacing w:before="40" w:after="40"/>
            <w:rPr>
              <w:rFonts w:ascii="Century Gothic" w:hAnsi="Century Gothic"/>
              <w:b/>
              <w:bCs/>
              <w:sz w:val="4"/>
            </w:rPr>
          </w:pPr>
        </w:p>
      </w:tc>
    </w:tr>
    <w:tr w:rsidR="008F1BA0" w:rsidRPr="00A03DAF" w14:paraId="382E2D7E" w14:textId="77777777" w:rsidTr="00942270">
      <w:trPr>
        <w:gridBefore w:val="1"/>
        <w:wBefore w:w="1080" w:type="dxa"/>
        <w:cantSplit/>
        <w:trHeight w:val="124"/>
      </w:trPr>
      <w:tc>
        <w:tcPr>
          <w:tcW w:w="416" w:type="dxa"/>
          <w:tcBorders>
            <w:top w:val="nil"/>
            <w:left w:val="nil"/>
            <w:bottom w:val="nil"/>
            <w:right w:val="nil"/>
          </w:tcBorders>
        </w:tcPr>
        <w:p w14:paraId="23AD7D70" w14:textId="77777777" w:rsidR="008F1BA0" w:rsidRPr="00A03DAF" w:rsidRDefault="008F1BA0" w:rsidP="00942270">
          <w:pPr>
            <w:pStyle w:val="Footer"/>
            <w:rPr>
              <w:rFonts w:ascii="Century Gothic" w:hAnsi="Century Gothic"/>
              <w:sz w:val="16"/>
            </w:rPr>
          </w:pPr>
        </w:p>
      </w:tc>
      <w:tc>
        <w:tcPr>
          <w:tcW w:w="2032" w:type="dxa"/>
          <w:tcBorders>
            <w:top w:val="nil"/>
            <w:left w:val="nil"/>
            <w:bottom w:val="nil"/>
            <w:right w:val="nil"/>
          </w:tcBorders>
        </w:tcPr>
        <w:p w14:paraId="51B1F6B2" w14:textId="77777777" w:rsidR="008F1BA0" w:rsidRPr="00A03DAF" w:rsidRDefault="008F1BA0" w:rsidP="00942270">
          <w:pPr>
            <w:pStyle w:val="Footer"/>
            <w:spacing w:before="40" w:after="40"/>
            <w:rPr>
              <w:rFonts w:ascii="Century Gothic" w:hAnsi="Century Gothic"/>
              <w:sz w:val="16"/>
            </w:rPr>
          </w:pPr>
        </w:p>
      </w:tc>
      <w:tc>
        <w:tcPr>
          <w:tcW w:w="3060" w:type="dxa"/>
          <w:tcBorders>
            <w:top w:val="nil"/>
            <w:left w:val="nil"/>
            <w:bottom w:val="nil"/>
            <w:right w:val="nil"/>
          </w:tcBorders>
        </w:tcPr>
        <w:p w14:paraId="3351EFAB" w14:textId="77777777" w:rsidR="008F1BA0" w:rsidRPr="00A03DAF" w:rsidRDefault="008F1BA0" w:rsidP="00942270">
          <w:pPr>
            <w:pStyle w:val="Footer"/>
            <w:spacing w:before="40" w:after="40"/>
            <w:jc w:val="right"/>
            <w:rPr>
              <w:rFonts w:ascii="Century Gothic" w:hAnsi="Century Gothic"/>
              <w:b/>
              <w:bCs/>
              <w:sz w:val="16"/>
            </w:rPr>
          </w:pPr>
        </w:p>
      </w:tc>
      <w:tc>
        <w:tcPr>
          <w:tcW w:w="540" w:type="dxa"/>
          <w:tcBorders>
            <w:top w:val="nil"/>
            <w:left w:val="nil"/>
            <w:bottom w:val="nil"/>
            <w:right w:val="nil"/>
          </w:tcBorders>
        </w:tcPr>
        <w:p w14:paraId="69644743" w14:textId="77777777" w:rsidR="008F1BA0" w:rsidRPr="00A03DAF" w:rsidRDefault="008F1BA0" w:rsidP="00942270">
          <w:pPr>
            <w:pStyle w:val="Footer"/>
            <w:spacing w:before="40" w:after="40"/>
            <w:rPr>
              <w:rFonts w:ascii="Century Gothic" w:hAnsi="Century Gothic"/>
              <w:sz w:val="16"/>
            </w:rPr>
          </w:pPr>
        </w:p>
      </w:tc>
      <w:tc>
        <w:tcPr>
          <w:tcW w:w="2700" w:type="dxa"/>
          <w:tcBorders>
            <w:top w:val="nil"/>
            <w:left w:val="nil"/>
            <w:bottom w:val="nil"/>
            <w:right w:val="nil"/>
          </w:tcBorders>
        </w:tcPr>
        <w:p w14:paraId="470ED4DE" w14:textId="77777777" w:rsidR="008F1BA0" w:rsidRPr="00A03DAF" w:rsidRDefault="008F1BA0" w:rsidP="00942270">
          <w:pPr>
            <w:pStyle w:val="Footer"/>
            <w:spacing w:before="40" w:after="40"/>
            <w:rPr>
              <w:rFonts w:ascii="Century Gothic" w:hAnsi="Century Gothic"/>
              <w:b/>
              <w:bCs/>
              <w:sz w:val="16"/>
            </w:rPr>
          </w:pPr>
        </w:p>
      </w:tc>
      <w:tc>
        <w:tcPr>
          <w:tcW w:w="1080" w:type="dxa"/>
          <w:tcBorders>
            <w:top w:val="nil"/>
            <w:left w:val="nil"/>
            <w:bottom w:val="nil"/>
            <w:right w:val="nil"/>
          </w:tcBorders>
        </w:tcPr>
        <w:p w14:paraId="1F092856" w14:textId="77777777" w:rsidR="008F1BA0" w:rsidRPr="00A03DAF" w:rsidRDefault="008F1BA0" w:rsidP="00942270">
          <w:pPr>
            <w:pStyle w:val="Footer"/>
            <w:spacing w:before="40" w:after="40"/>
            <w:rPr>
              <w:rFonts w:ascii="Century Gothic" w:hAnsi="Century Gothic"/>
              <w:sz w:val="16"/>
            </w:rPr>
          </w:pPr>
        </w:p>
      </w:tc>
      <w:tc>
        <w:tcPr>
          <w:tcW w:w="2232" w:type="dxa"/>
          <w:gridSpan w:val="4"/>
          <w:tcBorders>
            <w:top w:val="nil"/>
            <w:left w:val="nil"/>
            <w:bottom w:val="nil"/>
            <w:right w:val="nil"/>
          </w:tcBorders>
        </w:tcPr>
        <w:p w14:paraId="3D5D1CFF" w14:textId="77777777" w:rsidR="008F1BA0" w:rsidRPr="00A03DAF" w:rsidRDefault="008F1BA0" w:rsidP="00942270">
          <w:pPr>
            <w:pStyle w:val="Footer"/>
            <w:spacing w:before="40" w:after="40"/>
            <w:rPr>
              <w:rFonts w:ascii="Century Gothic" w:hAnsi="Century Gothic"/>
              <w:b/>
              <w:bCs/>
              <w:sz w:val="16"/>
            </w:rPr>
          </w:pPr>
        </w:p>
      </w:tc>
    </w:tr>
    <w:tr w:rsidR="008F1BA0" w:rsidRPr="00A03DAF" w14:paraId="09FC3597" w14:textId="77777777" w:rsidTr="00942270">
      <w:tblPrEx>
        <w:tblBorders>
          <w:top w:val="single" w:sz="8" w:space="0" w:color="8C969C"/>
          <w:left w:val="none" w:sz="0" w:space="0" w:color="auto"/>
          <w:bottom w:val="none" w:sz="0" w:space="0" w:color="auto"/>
          <w:right w:val="none" w:sz="0" w:space="0" w:color="auto"/>
          <w:insideH w:val="none" w:sz="0" w:space="0" w:color="auto"/>
          <w:insideV w:val="none" w:sz="0" w:space="0" w:color="auto"/>
        </w:tblBorders>
      </w:tblPrEx>
      <w:trPr>
        <w:gridAfter w:val="1"/>
        <w:wAfter w:w="180" w:type="dxa"/>
        <w:cantSplit/>
      </w:trPr>
      <w:tc>
        <w:tcPr>
          <w:tcW w:w="11448" w:type="dxa"/>
          <w:gridSpan w:val="8"/>
          <w:tcBorders>
            <w:top w:val="nil"/>
            <w:left w:val="nil"/>
            <w:bottom w:val="nil"/>
            <w:right w:val="nil"/>
          </w:tcBorders>
        </w:tcPr>
        <w:p w14:paraId="5E93FFDB" w14:textId="77777777" w:rsidR="008F1BA0" w:rsidRPr="00A03DAF" w:rsidRDefault="008F1BA0" w:rsidP="00942270">
          <w:pPr>
            <w:pStyle w:val="Footer"/>
            <w:spacing w:before="80" w:after="80"/>
            <w:ind w:left="2592"/>
            <w:jc w:val="center"/>
            <w:rPr>
              <w:rFonts w:ascii="Century Gothic" w:hAnsi="Century Gothic"/>
              <w:sz w:val="16"/>
            </w:rPr>
          </w:pPr>
          <w:r w:rsidRPr="00A03DAF">
            <w:rPr>
              <w:rFonts w:ascii="Century Gothic" w:hAnsi="Century Gothic"/>
              <w:sz w:val="16"/>
            </w:rPr>
            <w:t>Please address all correspondence to the Office of the Anton Mostert Chair of Intellectual Property Law</w:t>
          </w:r>
        </w:p>
        <w:p w14:paraId="6ECB6087" w14:textId="77777777" w:rsidR="008F1BA0" w:rsidRPr="00A03DAF" w:rsidRDefault="008F1BA0" w:rsidP="00942270">
          <w:pPr>
            <w:pStyle w:val="Footer"/>
            <w:spacing w:before="80" w:after="80"/>
            <w:ind w:left="2592"/>
            <w:jc w:val="center"/>
            <w:rPr>
              <w:rFonts w:ascii="Century Gothic" w:hAnsi="Century Gothic"/>
              <w:sz w:val="16"/>
            </w:rPr>
          </w:pPr>
          <w:r w:rsidRPr="00A03DAF">
            <w:rPr>
              <w:rFonts w:ascii="Century Gothic" w:hAnsi="Century Gothic"/>
              <w:sz w:val="16"/>
            </w:rPr>
            <w:t>Stellenbosch University – Faculty of Law</w:t>
          </w:r>
        </w:p>
        <w:p w14:paraId="0B43116F" w14:textId="77777777" w:rsidR="008F1BA0" w:rsidRPr="00A03DAF" w:rsidRDefault="008F1BA0" w:rsidP="00942270">
          <w:pPr>
            <w:pStyle w:val="Footer"/>
            <w:spacing w:before="80" w:after="80"/>
            <w:ind w:left="2592"/>
            <w:jc w:val="center"/>
            <w:rPr>
              <w:rFonts w:ascii="Century Gothic" w:hAnsi="Century Gothic"/>
              <w:sz w:val="16"/>
            </w:rPr>
          </w:pPr>
          <w:r w:rsidRPr="00A03DAF">
            <w:rPr>
              <w:rFonts w:ascii="Century Gothic" w:hAnsi="Century Gothic"/>
              <w:sz w:val="16"/>
            </w:rPr>
            <w:t xml:space="preserve">Private Bag X1 </w:t>
          </w:r>
          <w:r w:rsidRPr="00A03DAF">
            <w:rPr>
              <w:rFonts w:ascii="Century Gothic" w:hAnsi="Century Gothic"/>
              <w:sz w:val="16"/>
            </w:rPr>
            <w:sym w:font="Symbol" w:char="F0B7"/>
          </w:r>
          <w:r w:rsidRPr="00A03DAF">
            <w:rPr>
              <w:rFonts w:ascii="Century Gothic" w:hAnsi="Century Gothic"/>
              <w:sz w:val="16"/>
            </w:rPr>
            <w:t xml:space="preserve"> Matieland, 7602 </w:t>
          </w:r>
          <w:r w:rsidRPr="00A03DAF">
            <w:rPr>
              <w:rFonts w:ascii="Century Gothic" w:hAnsi="Century Gothic"/>
              <w:sz w:val="16"/>
            </w:rPr>
            <w:sym w:font="Symbol" w:char="F0B7"/>
          </w:r>
          <w:r w:rsidRPr="00A03DAF">
            <w:rPr>
              <w:rFonts w:ascii="Century Gothic" w:hAnsi="Century Gothic"/>
              <w:sz w:val="16"/>
            </w:rPr>
            <w:t xml:space="preserve"> South Africa, Tel: +27 (0) 21 808 9371, Fax: +27 (0) 21 882 8235</w:t>
          </w:r>
        </w:p>
        <w:p w14:paraId="27008281" w14:textId="77777777" w:rsidR="008F1BA0" w:rsidRDefault="008F1BA0" w:rsidP="00942270">
          <w:pPr>
            <w:pStyle w:val="Footer"/>
            <w:spacing w:before="80" w:after="80"/>
            <w:ind w:left="2592"/>
            <w:jc w:val="center"/>
            <w:rPr>
              <w:rFonts w:ascii="Century Gothic" w:hAnsi="Century Gothic"/>
              <w:sz w:val="16"/>
            </w:rPr>
          </w:pPr>
          <w:r w:rsidRPr="00A03DAF">
            <w:rPr>
              <w:rFonts w:ascii="Century Gothic" w:hAnsi="Century Gothic"/>
              <w:sz w:val="16"/>
            </w:rPr>
            <w:t>Email: ipchair@sun.ac.za   Visit: www.sun.ac.za/iplaw</w:t>
          </w:r>
        </w:p>
        <w:p w14:paraId="599B44A9" w14:textId="77777777" w:rsidR="008F1BA0" w:rsidRDefault="008F1BA0" w:rsidP="00942270">
          <w:pPr>
            <w:pStyle w:val="Footer"/>
            <w:spacing w:before="80" w:after="80"/>
            <w:ind w:left="2592"/>
            <w:jc w:val="center"/>
            <w:rPr>
              <w:rFonts w:ascii="Century Gothic" w:hAnsi="Century Gothic"/>
              <w:sz w:val="16"/>
            </w:rPr>
          </w:pPr>
        </w:p>
        <w:p w14:paraId="34A5F145" w14:textId="77777777" w:rsidR="008F1BA0" w:rsidRPr="00A03DAF" w:rsidRDefault="008F1BA0" w:rsidP="00942270">
          <w:pPr>
            <w:pStyle w:val="Footer"/>
            <w:spacing w:before="80" w:after="80"/>
            <w:ind w:left="2592"/>
            <w:jc w:val="center"/>
            <w:rPr>
              <w:rFonts w:ascii="Century Gothic" w:hAnsi="Century Gothic"/>
              <w:sz w:val="16"/>
            </w:rPr>
          </w:pPr>
        </w:p>
      </w:tc>
      <w:tc>
        <w:tcPr>
          <w:tcW w:w="1512" w:type="dxa"/>
          <w:gridSpan w:val="2"/>
          <w:tcBorders>
            <w:left w:val="nil"/>
          </w:tcBorders>
        </w:tcPr>
        <w:p w14:paraId="5D25B0CB" w14:textId="77777777" w:rsidR="008F1BA0" w:rsidRPr="00A03DAF" w:rsidRDefault="008F1BA0" w:rsidP="00942270">
          <w:pPr>
            <w:pStyle w:val="Footer"/>
            <w:ind w:left="2160"/>
            <w:jc w:val="center"/>
            <w:rPr>
              <w:rFonts w:ascii="Century Gothic" w:hAnsi="Century Gothic"/>
              <w:sz w:val="16"/>
            </w:rPr>
          </w:pPr>
        </w:p>
      </w:tc>
    </w:tr>
  </w:tbl>
  <w:p w14:paraId="2BA08D2A" w14:textId="77777777" w:rsidR="008F1BA0" w:rsidRPr="00A03DAF" w:rsidRDefault="008F1BA0" w:rsidP="008F1BA0">
    <w:pPr>
      <w:pStyle w:val="Footer"/>
      <w:ind w:left="2160"/>
      <w:jc w:val="center"/>
      <w:rPr>
        <w:rFonts w:ascii="Century Gothic" w:hAnsi="Century Gothic"/>
        <w:sz w:val="16"/>
      </w:rPr>
    </w:pPr>
  </w:p>
  <w:p w14:paraId="1C4D2BCA" w14:textId="77777777" w:rsidR="008F1BA0" w:rsidRDefault="008F1B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6FA4C" w14:textId="77777777" w:rsidR="006A0045" w:rsidRDefault="006A0045">
      <w:r>
        <w:separator/>
      </w:r>
    </w:p>
  </w:footnote>
  <w:footnote w:type="continuationSeparator" w:id="0">
    <w:p w14:paraId="15C5561C" w14:textId="77777777" w:rsidR="006A0045" w:rsidRDefault="006A00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1"/>
    </w:tblGrid>
    <w:tr w:rsidR="006A0045" w14:paraId="735B9E5B" w14:textId="77777777" w:rsidTr="00401408">
      <w:tc>
        <w:tcPr>
          <w:tcW w:w="10501" w:type="dxa"/>
          <w:tcBorders>
            <w:top w:val="nil"/>
            <w:left w:val="nil"/>
            <w:bottom w:val="nil"/>
            <w:right w:val="nil"/>
          </w:tcBorders>
        </w:tcPr>
        <w:p w14:paraId="7B0225C7" w14:textId="6FEC23E4" w:rsidR="006A0045" w:rsidRDefault="006A0045" w:rsidP="00F85B99">
          <w:pPr>
            <w:pStyle w:val="Header"/>
            <w:ind w:right="911"/>
            <w:jc w:val="center"/>
          </w:pPr>
        </w:p>
        <w:p w14:paraId="60713DC5" w14:textId="45C713DC" w:rsidR="006A0045" w:rsidRDefault="006A0045">
          <w:pPr>
            <w:pStyle w:val="Header"/>
            <w:jc w:val="center"/>
          </w:pPr>
        </w:p>
      </w:tc>
    </w:tr>
  </w:tbl>
  <w:p w14:paraId="1CD70990" w14:textId="77777777" w:rsidR="006A0045" w:rsidRDefault="006A00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C883D" w14:textId="288DDB0F" w:rsidR="006A0045" w:rsidRDefault="006A0045" w:rsidP="00326351">
    <w:pPr>
      <w:pStyle w:val="Header"/>
      <w:jc w:val="center"/>
    </w:pPr>
    <w:r>
      <w:drawing>
        <wp:inline distT="0" distB="0" distL="0" distR="0" wp14:anchorId="651998ED" wp14:editId="4BF75023">
          <wp:extent cx="1341967" cy="926186"/>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 logo_FINAAL.jpg"/>
                  <pic:cNvPicPr/>
                </pic:nvPicPr>
                <pic:blipFill>
                  <a:blip r:embed="rId1">
                    <a:extLst>
                      <a:ext uri="{28A0092B-C50C-407E-A947-70E740481C1C}">
                        <a14:useLocalDpi xmlns:a14="http://schemas.microsoft.com/office/drawing/2010/main" val="0"/>
                      </a:ext>
                    </a:extLst>
                  </a:blip>
                  <a:stretch>
                    <a:fillRect/>
                  </a:stretch>
                </pic:blipFill>
                <pic:spPr>
                  <a:xfrm>
                    <a:off x="0" y="0"/>
                    <a:ext cx="1342653" cy="926660"/>
                  </a:xfrm>
                  <a:prstGeom prst="rect">
                    <a:avLst/>
                  </a:prstGeom>
                </pic:spPr>
              </pic:pic>
            </a:graphicData>
          </a:graphic>
        </wp:inline>
      </w:drawing>
    </w:r>
  </w:p>
  <w:p w14:paraId="1E8214CC" w14:textId="77777777" w:rsidR="006A0045" w:rsidRDefault="006A0045" w:rsidP="00326351">
    <w:pPr>
      <w:pStyle w:val="Header"/>
      <w:jc w:val="center"/>
    </w:pPr>
  </w:p>
  <w:p w14:paraId="7F649AAA" w14:textId="77777777" w:rsidR="006A0045" w:rsidRDefault="006A0045" w:rsidP="00326351">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D2483"/>
    <w:multiLevelType w:val="multilevel"/>
    <w:tmpl w:val="F2F0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5D"/>
    <w:rsid w:val="00164501"/>
    <w:rsid w:val="0017462C"/>
    <w:rsid w:val="001A406B"/>
    <w:rsid w:val="00223B28"/>
    <w:rsid w:val="002D5D17"/>
    <w:rsid w:val="002E4EEE"/>
    <w:rsid w:val="00326351"/>
    <w:rsid w:val="003455DA"/>
    <w:rsid w:val="003B174F"/>
    <w:rsid w:val="00401408"/>
    <w:rsid w:val="00426A52"/>
    <w:rsid w:val="00442D97"/>
    <w:rsid w:val="005277DD"/>
    <w:rsid w:val="005F4AA9"/>
    <w:rsid w:val="00662C83"/>
    <w:rsid w:val="006663E9"/>
    <w:rsid w:val="006A0045"/>
    <w:rsid w:val="006B4A67"/>
    <w:rsid w:val="0077361E"/>
    <w:rsid w:val="008F1BA0"/>
    <w:rsid w:val="009B6EB2"/>
    <w:rsid w:val="00A019E4"/>
    <w:rsid w:val="00A03DAF"/>
    <w:rsid w:val="00A50E39"/>
    <w:rsid w:val="00AC4D4D"/>
    <w:rsid w:val="00AC6948"/>
    <w:rsid w:val="00AD205D"/>
    <w:rsid w:val="00AE11C4"/>
    <w:rsid w:val="00C422D4"/>
    <w:rsid w:val="00C43F4D"/>
    <w:rsid w:val="00D96852"/>
    <w:rsid w:val="00DE3C55"/>
    <w:rsid w:val="00EF1360"/>
    <w:rsid w:val="00F0572E"/>
    <w:rsid w:val="00F85B99"/>
    <w:rsid w:val="00F93A0A"/>
    <w:rsid w:val="00FC4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642C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noProof/>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223B28"/>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B28"/>
    <w:rPr>
      <w:rFonts w:ascii="Lucida Grande" w:hAnsi="Lucida Grande"/>
      <w:noProof/>
      <w:sz w:val="18"/>
      <w:szCs w:val="18"/>
    </w:rPr>
  </w:style>
  <w:style w:type="character" w:styleId="Hyperlink">
    <w:name w:val="Hyperlink"/>
    <w:basedOn w:val="DefaultParagraphFont"/>
    <w:uiPriority w:val="99"/>
    <w:unhideWhenUsed/>
    <w:rsid w:val="00AC4D4D"/>
    <w:rPr>
      <w:color w:val="0000FF" w:themeColor="hyperlink"/>
      <w:u w:val="single"/>
    </w:rPr>
  </w:style>
  <w:style w:type="paragraph" w:styleId="FootnoteText">
    <w:name w:val="footnote text"/>
    <w:basedOn w:val="Normal"/>
    <w:link w:val="FootnoteTextChar"/>
    <w:uiPriority w:val="99"/>
    <w:unhideWhenUsed/>
    <w:rsid w:val="00F85B99"/>
    <w:rPr>
      <w:rFonts w:asciiTheme="minorHAnsi" w:eastAsiaTheme="minorEastAsia" w:hAnsiTheme="minorHAnsi" w:cstheme="minorBidi"/>
      <w:noProof w:val="0"/>
      <w:sz w:val="24"/>
      <w:lang w:val="en-GB"/>
    </w:rPr>
  </w:style>
  <w:style w:type="character" w:customStyle="1" w:styleId="FootnoteTextChar">
    <w:name w:val="Footnote Text Char"/>
    <w:basedOn w:val="DefaultParagraphFont"/>
    <w:link w:val="FootnoteText"/>
    <w:uiPriority w:val="99"/>
    <w:rsid w:val="00F85B99"/>
    <w:rPr>
      <w:rFonts w:asciiTheme="minorHAnsi" w:eastAsiaTheme="minorEastAsia" w:hAnsiTheme="minorHAnsi" w:cstheme="minorBidi"/>
      <w:sz w:val="24"/>
      <w:szCs w:val="24"/>
      <w:lang w:val="en-GB"/>
    </w:rPr>
  </w:style>
  <w:style w:type="character" w:styleId="FootnoteReference">
    <w:name w:val="footnote reference"/>
    <w:basedOn w:val="DefaultParagraphFont"/>
    <w:uiPriority w:val="99"/>
    <w:unhideWhenUsed/>
    <w:rsid w:val="00F85B99"/>
    <w:rPr>
      <w:vertAlign w:val="superscript"/>
    </w:rPr>
  </w:style>
  <w:style w:type="table" w:styleId="TableGrid">
    <w:name w:val="Table Grid"/>
    <w:basedOn w:val="TableNormal"/>
    <w:uiPriority w:val="39"/>
    <w:rsid w:val="00164501"/>
    <w:rPr>
      <w:rFonts w:asciiTheme="minorHAnsi" w:eastAsia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64501"/>
    <w:rPr>
      <w:rFonts w:ascii="Times New Roman" w:eastAsiaTheme="minorHAnsi" w:hAnsi="Times New Roman"/>
      <w:noProof w:val="0"/>
      <w:sz w:val="24"/>
      <w:lang w:val="en-ZA" w:eastAsia="en-ZA"/>
    </w:rPr>
  </w:style>
  <w:style w:type="character" w:styleId="Strong">
    <w:name w:val="Strong"/>
    <w:basedOn w:val="DefaultParagraphFont"/>
    <w:uiPriority w:val="22"/>
    <w:qFormat/>
    <w:rsid w:val="00164501"/>
    <w:rPr>
      <w:b/>
      <w:bCs/>
    </w:rPr>
  </w:style>
  <w:style w:type="character" w:customStyle="1" w:styleId="apple-converted-space">
    <w:name w:val="apple-converted-space"/>
    <w:basedOn w:val="DefaultParagraphFont"/>
    <w:rsid w:val="00164501"/>
  </w:style>
  <w:style w:type="paragraph" w:styleId="BodyText">
    <w:name w:val="Body Text"/>
    <w:basedOn w:val="Normal"/>
    <w:link w:val="BodyTextChar"/>
    <w:uiPriority w:val="1"/>
    <w:qFormat/>
    <w:rsid w:val="00164501"/>
    <w:pPr>
      <w:widowControl w:val="0"/>
      <w:ind w:left="1042"/>
    </w:pPr>
    <w:rPr>
      <w:rFonts w:ascii="Arial" w:eastAsia="Arial" w:hAnsi="Arial" w:cstheme="minorBidi"/>
      <w:noProof w:val="0"/>
      <w:sz w:val="24"/>
    </w:rPr>
  </w:style>
  <w:style w:type="character" w:customStyle="1" w:styleId="BodyTextChar">
    <w:name w:val="Body Text Char"/>
    <w:basedOn w:val="DefaultParagraphFont"/>
    <w:link w:val="BodyText"/>
    <w:uiPriority w:val="1"/>
    <w:rsid w:val="00164501"/>
    <w:rPr>
      <w:rFonts w:ascii="Arial" w:eastAsia="Arial" w:hAnsi="Arial" w:cstheme="minorBidi"/>
      <w:sz w:val="24"/>
      <w:szCs w:val="24"/>
    </w:rPr>
  </w:style>
  <w:style w:type="character" w:styleId="Emphasis">
    <w:name w:val="Emphasis"/>
    <w:basedOn w:val="DefaultParagraphFont"/>
    <w:uiPriority w:val="20"/>
    <w:qFormat/>
    <w:rsid w:val="00164501"/>
    <w:rPr>
      <w:i/>
      <w:iCs/>
    </w:rPr>
  </w:style>
  <w:style w:type="paragraph" w:customStyle="1" w:styleId="LegSubSection">
    <w:name w:val="Leg_SubSection"/>
    <w:uiPriority w:val="99"/>
    <w:rsid w:val="00164501"/>
    <w:pPr>
      <w:widowControl w:val="0"/>
      <w:autoSpaceDE w:val="0"/>
      <w:autoSpaceDN w:val="0"/>
      <w:adjustRightInd w:val="0"/>
      <w:spacing w:before="120"/>
      <w:ind w:firstLine="284"/>
    </w:pPr>
    <w:rPr>
      <w:rFonts w:ascii="Verdana" w:eastAsiaTheme="minorEastAsia" w:hAnsi="Verdana" w:cstheme="minorBidi"/>
      <w:lang w:val="en-ZA" w:eastAsia="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noProof/>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223B28"/>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B28"/>
    <w:rPr>
      <w:rFonts w:ascii="Lucida Grande" w:hAnsi="Lucida Grande"/>
      <w:noProof/>
      <w:sz w:val="18"/>
      <w:szCs w:val="18"/>
    </w:rPr>
  </w:style>
  <w:style w:type="character" w:styleId="Hyperlink">
    <w:name w:val="Hyperlink"/>
    <w:basedOn w:val="DefaultParagraphFont"/>
    <w:uiPriority w:val="99"/>
    <w:unhideWhenUsed/>
    <w:rsid w:val="00AC4D4D"/>
    <w:rPr>
      <w:color w:val="0000FF" w:themeColor="hyperlink"/>
      <w:u w:val="single"/>
    </w:rPr>
  </w:style>
  <w:style w:type="paragraph" w:styleId="FootnoteText">
    <w:name w:val="footnote text"/>
    <w:basedOn w:val="Normal"/>
    <w:link w:val="FootnoteTextChar"/>
    <w:uiPriority w:val="99"/>
    <w:unhideWhenUsed/>
    <w:rsid w:val="00F85B99"/>
    <w:rPr>
      <w:rFonts w:asciiTheme="minorHAnsi" w:eastAsiaTheme="minorEastAsia" w:hAnsiTheme="minorHAnsi" w:cstheme="minorBidi"/>
      <w:noProof w:val="0"/>
      <w:sz w:val="24"/>
      <w:lang w:val="en-GB"/>
    </w:rPr>
  </w:style>
  <w:style w:type="character" w:customStyle="1" w:styleId="FootnoteTextChar">
    <w:name w:val="Footnote Text Char"/>
    <w:basedOn w:val="DefaultParagraphFont"/>
    <w:link w:val="FootnoteText"/>
    <w:uiPriority w:val="99"/>
    <w:rsid w:val="00F85B99"/>
    <w:rPr>
      <w:rFonts w:asciiTheme="minorHAnsi" w:eastAsiaTheme="minorEastAsia" w:hAnsiTheme="minorHAnsi" w:cstheme="minorBidi"/>
      <w:sz w:val="24"/>
      <w:szCs w:val="24"/>
      <w:lang w:val="en-GB"/>
    </w:rPr>
  </w:style>
  <w:style w:type="character" w:styleId="FootnoteReference">
    <w:name w:val="footnote reference"/>
    <w:basedOn w:val="DefaultParagraphFont"/>
    <w:uiPriority w:val="99"/>
    <w:unhideWhenUsed/>
    <w:rsid w:val="00F85B99"/>
    <w:rPr>
      <w:vertAlign w:val="superscript"/>
    </w:rPr>
  </w:style>
  <w:style w:type="table" w:styleId="TableGrid">
    <w:name w:val="Table Grid"/>
    <w:basedOn w:val="TableNormal"/>
    <w:uiPriority w:val="39"/>
    <w:rsid w:val="00164501"/>
    <w:rPr>
      <w:rFonts w:asciiTheme="minorHAnsi" w:eastAsia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64501"/>
    <w:rPr>
      <w:rFonts w:ascii="Times New Roman" w:eastAsiaTheme="minorHAnsi" w:hAnsi="Times New Roman"/>
      <w:noProof w:val="0"/>
      <w:sz w:val="24"/>
      <w:lang w:val="en-ZA" w:eastAsia="en-ZA"/>
    </w:rPr>
  </w:style>
  <w:style w:type="character" w:styleId="Strong">
    <w:name w:val="Strong"/>
    <w:basedOn w:val="DefaultParagraphFont"/>
    <w:uiPriority w:val="22"/>
    <w:qFormat/>
    <w:rsid w:val="00164501"/>
    <w:rPr>
      <w:b/>
      <w:bCs/>
    </w:rPr>
  </w:style>
  <w:style w:type="character" w:customStyle="1" w:styleId="apple-converted-space">
    <w:name w:val="apple-converted-space"/>
    <w:basedOn w:val="DefaultParagraphFont"/>
    <w:rsid w:val="00164501"/>
  </w:style>
  <w:style w:type="paragraph" w:styleId="BodyText">
    <w:name w:val="Body Text"/>
    <w:basedOn w:val="Normal"/>
    <w:link w:val="BodyTextChar"/>
    <w:uiPriority w:val="1"/>
    <w:qFormat/>
    <w:rsid w:val="00164501"/>
    <w:pPr>
      <w:widowControl w:val="0"/>
      <w:ind w:left="1042"/>
    </w:pPr>
    <w:rPr>
      <w:rFonts w:ascii="Arial" w:eastAsia="Arial" w:hAnsi="Arial" w:cstheme="minorBidi"/>
      <w:noProof w:val="0"/>
      <w:sz w:val="24"/>
    </w:rPr>
  </w:style>
  <w:style w:type="character" w:customStyle="1" w:styleId="BodyTextChar">
    <w:name w:val="Body Text Char"/>
    <w:basedOn w:val="DefaultParagraphFont"/>
    <w:link w:val="BodyText"/>
    <w:uiPriority w:val="1"/>
    <w:rsid w:val="00164501"/>
    <w:rPr>
      <w:rFonts w:ascii="Arial" w:eastAsia="Arial" w:hAnsi="Arial" w:cstheme="minorBidi"/>
      <w:sz w:val="24"/>
      <w:szCs w:val="24"/>
    </w:rPr>
  </w:style>
  <w:style w:type="character" w:styleId="Emphasis">
    <w:name w:val="Emphasis"/>
    <w:basedOn w:val="DefaultParagraphFont"/>
    <w:uiPriority w:val="20"/>
    <w:qFormat/>
    <w:rsid w:val="00164501"/>
    <w:rPr>
      <w:i/>
      <w:iCs/>
    </w:rPr>
  </w:style>
  <w:style w:type="paragraph" w:customStyle="1" w:styleId="LegSubSection">
    <w:name w:val="Leg_SubSection"/>
    <w:uiPriority w:val="99"/>
    <w:rsid w:val="00164501"/>
    <w:pPr>
      <w:widowControl w:val="0"/>
      <w:autoSpaceDE w:val="0"/>
      <w:autoSpaceDN w:val="0"/>
      <w:adjustRightInd w:val="0"/>
      <w:spacing w:before="120"/>
      <w:ind w:firstLine="284"/>
    </w:pPr>
    <w:rPr>
      <w:rFonts w:ascii="Verdana" w:eastAsiaTheme="minorEastAsia" w:hAnsi="Verdana" w:cstheme="minorBid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C8CF9-65A2-2D4A-94F6-62D4DCAA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1480</Words>
  <Characters>8436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Heading 1</vt:lpstr>
    </vt:vector>
  </TitlesOfParts>
  <Company>KSDP</Company>
  <LinksUpToDate>false</LinksUpToDate>
  <CharactersWithSpaces>9897</CharactersWithSpaces>
  <SharedDoc>false</SharedDoc>
  <HLinks>
    <vt:vector size="18" baseType="variant">
      <vt:variant>
        <vt:i4>196661</vt:i4>
      </vt:variant>
      <vt:variant>
        <vt:i4>1115</vt:i4>
      </vt:variant>
      <vt:variant>
        <vt:i4>1025</vt:i4>
      </vt:variant>
      <vt:variant>
        <vt:i4>1</vt:i4>
      </vt:variant>
      <vt:variant>
        <vt:lpwstr>..\..\..\LOGO MASTER COPY\jpg\1.jpg</vt:lpwstr>
      </vt:variant>
      <vt:variant>
        <vt:lpwstr/>
      </vt:variant>
      <vt:variant>
        <vt:i4>3735559</vt:i4>
      </vt:variant>
      <vt:variant>
        <vt:i4>1120</vt:i4>
      </vt:variant>
      <vt:variant>
        <vt:i4>1026</vt:i4>
      </vt:variant>
      <vt:variant>
        <vt:i4>1</vt:i4>
      </vt:variant>
      <vt:variant>
        <vt:lpwstr>..\US144_Faculty LH\1.tif</vt:lpwstr>
      </vt:variant>
      <vt:variant>
        <vt:lpwstr/>
      </vt:variant>
      <vt:variant>
        <vt:i4>4456486</vt:i4>
      </vt:variant>
      <vt:variant>
        <vt:i4>1124</vt:i4>
      </vt:variant>
      <vt:variant>
        <vt:i4>1027</vt:i4>
      </vt:variant>
      <vt:variant>
        <vt:i4>1</vt:i4>
      </vt:variant>
      <vt:variant>
        <vt:lpwstr>G:\CPTMAC2\UNIVERSITEIT STELLENBOSCH\US144F~1\pc templates\leaf.gif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Morne Goosen</dc:creator>
  <cp:keywords/>
  <dc:description/>
  <cp:lastModifiedBy>Cobus Jooste</cp:lastModifiedBy>
  <cp:revision>2</cp:revision>
  <cp:lastPrinted>2001-08-06T13:11:00Z</cp:lastPrinted>
  <dcterms:created xsi:type="dcterms:W3CDTF">2015-12-07T09:08:00Z</dcterms:created>
  <dcterms:modified xsi:type="dcterms:W3CDTF">2015-12-07T09:08:00Z</dcterms:modified>
</cp:coreProperties>
</file>